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B4024" w14:textId="7B7976F2" w:rsidR="00D162A1" w:rsidRPr="009E6644" w:rsidRDefault="001E6AEF" w:rsidP="00CE7F15">
      <w:pPr>
        <w:pStyle w:val="JACoWPaperTitle"/>
      </w:pPr>
      <w:bookmarkStart w:id="0" w:name="_Hlk116133404"/>
      <w:bookmarkEnd w:id="0"/>
      <w:r w:rsidRPr="001E6AEF">
        <w:t>CIRCULAR-LINEAR ENERGY RECOVERY ACCELERATOR TO PROBE THE ENERGY-FRONTIER</w:t>
      </w:r>
      <w:r>
        <w:t xml:space="preserve"> </w:t>
      </w:r>
    </w:p>
    <w:p w14:paraId="6F984BD0" w14:textId="55A94A0F" w:rsidR="00D162A1" w:rsidRPr="009E6644" w:rsidRDefault="001E6AEF" w:rsidP="001E6AEF">
      <w:pPr>
        <w:pStyle w:val="JACoWAuthorList"/>
        <w:rPr>
          <w:lang w:val="en-GB"/>
        </w:rPr>
      </w:pPr>
      <w:r>
        <w:rPr>
          <w:lang w:val="en-GB"/>
        </w:rPr>
        <w:t>I.V. Konoplev</w:t>
      </w:r>
      <w:r w:rsidR="00D162A1" w:rsidRPr="009E6644">
        <w:rPr>
          <w:vertAlign w:val="superscript"/>
          <w:lang w:val="en-GB"/>
        </w:rPr>
        <w:t>†</w:t>
      </w:r>
      <w:r>
        <w:rPr>
          <w:vertAlign w:val="superscript"/>
          <w:lang w:val="en-GB"/>
        </w:rPr>
        <w:t>1</w:t>
      </w:r>
      <w:r w:rsidR="00D162A1" w:rsidRPr="009E6644">
        <w:rPr>
          <w:lang w:val="en-GB"/>
        </w:rPr>
        <w:t xml:space="preserve">, </w:t>
      </w:r>
      <w:r w:rsidRPr="001E6AEF">
        <w:rPr>
          <w:lang w:val="en-GB"/>
        </w:rPr>
        <w:t>JAI, Department of Physics, University of Oxford, Oxford, OX1 3RH</w:t>
      </w:r>
      <w:r>
        <w:rPr>
          <w:lang w:val="en-GB"/>
        </w:rPr>
        <w:t>, UK</w:t>
      </w:r>
      <w:r w:rsidR="00D162A1" w:rsidRPr="009E6644">
        <w:rPr>
          <w:lang w:val="en-GB"/>
        </w:rPr>
        <w:br/>
      </w:r>
      <w:r w:rsidRPr="001E6AEF">
        <w:rPr>
          <w:lang w:val="en-GB"/>
        </w:rPr>
        <w:t>S.A. Bogacz</w:t>
      </w:r>
      <w:r w:rsidR="00D162A1" w:rsidRPr="009E6644">
        <w:rPr>
          <w:lang w:val="en-GB"/>
        </w:rPr>
        <w:t xml:space="preserve">, </w:t>
      </w:r>
      <w:r w:rsidRPr="001E6AEF">
        <w:rPr>
          <w:lang w:val="en-GB"/>
        </w:rPr>
        <w:t>Jefferson Lab, Newport News, Virginia 23606, USA</w:t>
      </w:r>
      <w:r>
        <w:rPr>
          <w:lang w:val="en-GB"/>
        </w:rPr>
        <w:t xml:space="preserve">                                                    </w:t>
      </w:r>
      <w:proofErr w:type="spellStart"/>
      <w:r w:rsidRPr="001E6AEF">
        <w:rPr>
          <w:lang w:val="en-GB"/>
        </w:rPr>
        <w:t>Ya</w:t>
      </w:r>
      <w:proofErr w:type="spellEnd"/>
      <w:r w:rsidRPr="001E6AEF">
        <w:rPr>
          <w:lang w:val="en-GB"/>
        </w:rPr>
        <w:t xml:space="preserve">. </w:t>
      </w:r>
      <w:proofErr w:type="spellStart"/>
      <w:r w:rsidRPr="001E6AEF">
        <w:rPr>
          <w:lang w:val="en-GB"/>
        </w:rPr>
        <w:t>Shashkov</w:t>
      </w:r>
      <w:proofErr w:type="spellEnd"/>
      <w:r>
        <w:rPr>
          <w:lang w:val="en-GB"/>
        </w:rPr>
        <w:t>,</w:t>
      </w:r>
      <w:r w:rsidRPr="001E6AEF">
        <w:t xml:space="preserve"> </w:t>
      </w:r>
      <w:r w:rsidRPr="001E6AEF">
        <w:rPr>
          <w:lang w:val="en-GB"/>
        </w:rPr>
        <w:t xml:space="preserve">National Research Nuclear University </w:t>
      </w:r>
      <w:proofErr w:type="spellStart"/>
      <w:r w:rsidRPr="001E6AEF">
        <w:rPr>
          <w:lang w:val="en-GB"/>
        </w:rPr>
        <w:t>MEPhI</w:t>
      </w:r>
      <w:proofErr w:type="spellEnd"/>
      <w:r w:rsidRPr="001E6AEF">
        <w:rPr>
          <w:lang w:val="en-GB"/>
        </w:rPr>
        <w:t>, Moscow, Russia</w:t>
      </w:r>
      <w:r>
        <w:rPr>
          <w:lang w:val="en-GB"/>
        </w:rPr>
        <w:t xml:space="preserve"> </w:t>
      </w:r>
      <w:r w:rsidR="00D162A1" w:rsidRPr="009E6644">
        <w:rPr>
          <w:lang w:val="en-GB"/>
        </w:rPr>
        <w:br/>
      </w:r>
      <w:r w:rsidR="00D162A1" w:rsidRPr="009E6644">
        <w:rPr>
          <w:vertAlign w:val="superscript"/>
          <w:lang w:val="en-GB"/>
        </w:rPr>
        <w:t>1</w:t>
      </w:r>
      <w:r w:rsidR="00D162A1" w:rsidRPr="009E6644">
        <w:rPr>
          <w:lang w:val="en-GB"/>
        </w:rPr>
        <w:t>also a</w:t>
      </w:r>
      <w:r>
        <w:rPr>
          <w:lang w:val="en-GB"/>
        </w:rPr>
        <w:t xml:space="preserve">t </w:t>
      </w:r>
      <w:r w:rsidRPr="001E6AEF">
        <w:rPr>
          <w:lang w:val="en-GB"/>
        </w:rPr>
        <w:t>Sevastopol State University, Sevastopol, Russia</w:t>
      </w:r>
    </w:p>
    <w:p w14:paraId="5C515E25" w14:textId="44DD26A9" w:rsidR="00D162A1" w:rsidRDefault="00944497" w:rsidP="00D162A1">
      <w:pPr>
        <w:pStyle w:val="Caption"/>
      </w:pPr>
      <w:r>
        <w:rPr>
          <w:noProof/>
        </w:rPr>
        <w:drawing>
          <wp:inline distT="0" distB="0" distL="0" distR="0" wp14:anchorId="03BC3BC9" wp14:editId="3F60583E">
            <wp:extent cx="6120765" cy="16036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1603675"/>
                    </a:xfrm>
                    <a:prstGeom prst="rect">
                      <a:avLst/>
                    </a:prstGeom>
                    <a:noFill/>
                  </pic:spPr>
                </pic:pic>
              </a:graphicData>
            </a:graphic>
          </wp:inline>
        </w:drawing>
      </w:r>
      <w:r w:rsidRPr="00944497">
        <w:t xml:space="preserve">Figure 1. Schematics of </w:t>
      </w:r>
      <w:r>
        <w:t xml:space="preserve">one of </w:t>
      </w:r>
      <w:r w:rsidRPr="00944497">
        <w:t>the possible configuration</w:t>
      </w:r>
      <w:r>
        <w:t>s</w:t>
      </w:r>
      <w:r w:rsidRPr="00944497">
        <w:t xml:space="preserve"> of the Circular-Linear Energy Recovery Collider showing the storage rings </w:t>
      </w:r>
      <w:r>
        <w:t xml:space="preserve">and recirculating energy recovery systems (RERS) </w:t>
      </w:r>
      <w:r w:rsidRPr="00944497">
        <w:t>located at each end of the linear collider</w:t>
      </w:r>
      <w:r>
        <w:t>.</w:t>
      </w:r>
      <w:r w:rsidRPr="00944497">
        <w:t xml:space="preserve"> </w:t>
      </w:r>
    </w:p>
    <w:p w14:paraId="40A1673E" w14:textId="3E87E67F" w:rsidR="00944497" w:rsidRPr="00003BFA" w:rsidRDefault="00944497" w:rsidP="00003BFA">
      <w:pPr>
        <w:sectPr w:rsidR="00944497" w:rsidRPr="00003BFA" w:rsidSect="00CE7F15">
          <w:headerReference w:type="even" r:id="rId9"/>
          <w:headerReference w:type="default" r:id="rId10"/>
          <w:footerReference w:type="even" r:id="rId11"/>
          <w:footerReference w:type="default" r:id="rId12"/>
          <w:headerReference w:type="first" r:id="rId13"/>
          <w:footerReference w:type="first" r:id="rId14"/>
          <w:footnotePr>
            <w:pos w:val="beneathText"/>
            <w:numFmt w:val="chicago"/>
          </w:footnotePr>
          <w:endnotePr>
            <w:numFmt w:val="decimal"/>
          </w:endnotePr>
          <w:pgSz w:w="11907" w:h="16840" w:code="9"/>
          <w:pgMar w:top="2098" w:right="1134" w:bottom="1077" w:left="1134" w:header="1077" w:footer="1077" w:gutter="0"/>
          <w:cols w:space="720"/>
          <w:titlePg/>
          <w:docGrid w:linePitch="360"/>
        </w:sectPr>
      </w:pPr>
    </w:p>
    <w:p w14:paraId="0B0298F5" w14:textId="77777777" w:rsidR="00D162A1" w:rsidRPr="009E6644" w:rsidRDefault="00D162A1" w:rsidP="00162067">
      <w:pPr>
        <w:pStyle w:val="JACoWAbstractHeading"/>
      </w:pPr>
      <w:r w:rsidRPr="009E6644">
        <w:t>Abstract</w:t>
      </w:r>
    </w:p>
    <w:p w14:paraId="2E7CA467" w14:textId="542723ED" w:rsidR="005D59B1" w:rsidRDefault="001E6AEF" w:rsidP="005D59B1">
      <w:pPr>
        <w:pStyle w:val="BodyTextIndent"/>
        <w:rPr>
          <w:rStyle w:val="JACoWBodyTextIndentChar"/>
        </w:rPr>
      </w:pPr>
      <w:r w:rsidRPr="001E6AEF">
        <w:rPr>
          <w:rStyle w:val="JACoWBodyTextIndentChar"/>
        </w:rPr>
        <w:t>Energy-frontier particle accelerators are among the most exciting, complex, challenging, and expensive research instruments performing high precision measurements confirming the fundamentals of the physics and broadening new research horizons. Currently the highest energy machines</w:t>
      </w:r>
      <w:r w:rsidR="007675EB">
        <w:rPr>
          <w:rStyle w:val="JACoWBodyTextIndentChar"/>
        </w:rPr>
        <w:t xml:space="preserve"> (under design or commissioned)</w:t>
      </w:r>
      <w:r w:rsidRPr="001E6AEF">
        <w:rPr>
          <w:rStyle w:val="JACoWBodyTextIndentChar"/>
        </w:rPr>
        <w:t xml:space="preserve">, from multi-GeV to several </w:t>
      </w:r>
      <w:proofErr w:type="spellStart"/>
      <w:r w:rsidRPr="001E6AEF">
        <w:rPr>
          <w:rStyle w:val="JACoWBodyTextIndentChar"/>
        </w:rPr>
        <w:t>TeV</w:t>
      </w:r>
      <w:proofErr w:type="spellEnd"/>
      <w:r w:rsidRPr="001E6AEF">
        <w:rPr>
          <w:rStyle w:val="JACoWBodyTextIndentChar"/>
        </w:rPr>
        <w:t>, (ILC, FCC, CLIC) capable of searching for the most basic building blocks of matter are either driven by circular or linear accelerators</w:t>
      </w:r>
      <w:r w:rsidR="000C2DA2">
        <w:rPr>
          <w:rStyle w:val="JACoWBodyTextIndentChar"/>
        </w:rPr>
        <w:t xml:space="preserve"> [1-</w:t>
      </w:r>
      <w:r w:rsidR="007675EB">
        <w:rPr>
          <w:rStyle w:val="JACoWBodyTextIndentChar"/>
        </w:rPr>
        <w:t>6</w:t>
      </w:r>
      <w:r w:rsidR="000C2DA2">
        <w:rPr>
          <w:rStyle w:val="JACoWBodyTextIndentChar"/>
        </w:rPr>
        <w:t>]</w:t>
      </w:r>
      <w:r w:rsidRPr="001E6AEF">
        <w:rPr>
          <w:rStyle w:val="JACoWBodyTextIndentChar"/>
        </w:rPr>
        <w:t xml:space="preserve">. </w:t>
      </w:r>
      <w:r>
        <w:rPr>
          <w:rStyle w:val="JACoWBodyTextIndentChar"/>
        </w:rPr>
        <w:t xml:space="preserve">Here </w:t>
      </w:r>
      <w:r w:rsidR="000C2DA2">
        <w:rPr>
          <w:rStyle w:val="JACoWBodyTextIndentChar"/>
        </w:rPr>
        <w:t>(see also [7</w:t>
      </w:r>
      <w:r w:rsidR="007675EB">
        <w:rPr>
          <w:rStyle w:val="JACoWBodyTextIndentChar"/>
        </w:rPr>
        <w:t>,8</w:t>
      </w:r>
      <w:r w:rsidR="000C2DA2">
        <w:rPr>
          <w:rStyle w:val="JACoWBodyTextIndentChar"/>
        </w:rPr>
        <w:t xml:space="preserve">]) </w:t>
      </w:r>
      <w:r w:rsidRPr="001E6AEF">
        <w:rPr>
          <w:rStyle w:val="JACoWBodyTextIndentChar"/>
        </w:rPr>
        <w:t xml:space="preserve">we suggest a novel design of circular-linear accelerator based on the merging of the weakly emitting, low-energy storage rings and energy recovery linear accelerators. To enable the operation of such a system and in particular the energy recovery from spent, high-intensity beams the use of the dual-axis asymmetric cavities is suggested. </w:t>
      </w:r>
      <w:r w:rsidR="007675EB">
        <w:rPr>
          <w:rStyle w:val="JACoWBodyTextIndentChar"/>
        </w:rPr>
        <w:t>M</w:t>
      </w:r>
      <w:r w:rsidRPr="001E6AEF">
        <w:rPr>
          <w:rStyle w:val="JACoWBodyTextIndentChar"/>
        </w:rPr>
        <w:t>erging circular and linear systems, and applications of dual axes cavities, aim</w:t>
      </w:r>
      <w:r w:rsidR="007675EB">
        <w:rPr>
          <w:rStyle w:val="JACoWBodyTextIndentChar"/>
        </w:rPr>
        <w:t>s</w:t>
      </w:r>
      <w:r w:rsidRPr="001E6AEF">
        <w:rPr>
          <w:rStyle w:val="JACoWBodyTextIndentChar"/>
        </w:rPr>
        <w:t xml:space="preserve"> to</w:t>
      </w:r>
      <w:r w:rsidR="005D59B1">
        <w:rPr>
          <w:rStyle w:val="JACoWBodyTextIndentChar"/>
        </w:rPr>
        <w:t xml:space="preserve"> resolve both scientific and societal challenges</w:t>
      </w:r>
      <w:r w:rsidR="007675EB">
        <w:rPr>
          <w:rStyle w:val="JACoWBodyTextIndentChar"/>
        </w:rPr>
        <w:t>.</w:t>
      </w:r>
      <w:r w:rsidR="005D59B1">
        <w:rPr>
          <w:rStyle w:val="JACoWBodyTextIndentChar"/>
        </w:rPr>
        <w:t xml:space="preserve"> The merge of the systems will allow: </w:t>
      </w:r>
    </w:p>
    <w:p w14:paraId="5590C934" w14:textId="77777777" w:rsidR="005D59B1" w:rsidRDefault="001E6AEF" w:rsidP="004105CD">
      <w:pPr>
        <w:pStyle w:val="BodyTextIndent"/>
        <w:numPr>
          <w:ilvl w:val="0"/>
          <w:numId w:val="24"/>
        </w:numPr>
        <w:ind w:left="284" w:hanging="284"/>
        <w:rPr>
          <w:rStyle w:val="JACoWBodyTextIndentChar"/>
        </w:rPr>
      </w:pPr>
      <w:r w:rsidRPr="001E6AEF">
        <w:rPr>
          <w:rStyle w:val="JACoWBodyTextIndentChar"/>
        </w:rPr>
        <w:t xml:space="preserve"> maintain high beam quality, high luminosity, and high energy </w:t>
      </w:r>
      <w:proofErr w:type="gramStart"/>
      <w:r w:rsidRPr="001E6AEF">
        <w:rPr>
          <w:rStyle w:val="JACoWBodyTextIndentChar"/>
        </w:rPr>
        <w:t>efficiency</w:t>
      </w:r>
      <w:r w:rsidR="005D59B1">
        <w:rPr>
          <w:rStyle w:val="JACoWBodyTextIndentChar"/>
        </w:rPr>
        <w:t>;</w:t>
      </w:r>
      <w:proofErr w:type="gramEnd"/>
    </w:p>
    <w:p w14:paraId="6E602244" w14:textId="691CFD77" w:rsidR="005D59B1" w:rsidRDefault="001E6AEF" w:rsidP="004105CD">
      <w:pPr>
        <w:pStyle w:val="BodyTextIndent"/>
        <w:numPr>
          <w:ilvl w:val="0"/>
          <w:numId w:val="24"/>
        </w:numPr>
        <w:ind w:left="284" w:hanging="284"/>
        <w:rPr>
          <w:rStyle w:val="JACoWBodyTextIndentChar"/>
        </w:rPr>
      </w:pPr>
      <w:r w:rsidRPr="001E6AEF">
        <w:rPr>
          <w:rStyle w:val="JACoWBodyTextIndentChar"/>
        </w:rPr>
        <w:t xml:space="preserve">offer a </w:t>
      </w:r>
      <w:r w:rsidR="007675EB">
        <w:rPr>
          <w:rStyle w:val="JACoWBodyTextIndentChar"/>
        </w:rPr>
        <w:t>“</w:t>
      </w:r>
      <w:r w:rsidRPr="001E6AEF">
        <w:rPr>
          <w:rStyle w:val="JACoWBodyTextIndentChar"/>
        </w:rPr>
        <w:t>flexible</w:t>
      </w:r>
      <w:r w:rsidR="007675EB">
        <w:rPr>
          <w:rStyle w:val="JACoWBodyTextIndentChar"/>
        </w:rPr>
        <w:t>”</w:t>
      </w:r>
      <w:r w:rsidRPr="001E6AEF">
        <w:rPr>
          <w:rStyle w:val="JACoWBodyTextIndentChar"/>
        </w:rPr>
        <w:t xml:space="preserve"> energy management</w:t>
      </w:r>
      <w:r w:rsidR="005D59B1">
        <w:rPr>
          <w:rStyle w:val="JACoWBodyTextIndentChar"/>
        </w:rPr>
        <w:t xml:space="preserve"> via “separation” of the collider and storage rings</w:t>
      </w:r>
      <w:r w:rsidR="004105CD" w:rsidRPr="004105CD">
        <w:rPr>
          <w:rStyle w:val="JACoWBodyTextIndentChar"/>
        </w:rPr>
        <w:t xml:space="preserve"> </w:t>
      </w:r>
      <w:proofErr w:type="gramStart"/>
      <w:r w:rsidR="004105CD">
        <w:rPr>
          <w:rStyle w:val="JACoWBodyTextIndentChar"/>
        </w:rPr>
        <w:t>operations</w:t>
      </w:r>
      <w:r w:rsidR="005D59B1">
        <w:rPr>
          <w:rStyle w:val="JACoWBodyTextIndentChar"/>
        </w:rPr>
        <w:t>;</w:t>
      </w:r>
      <w:proofErr w:type="gramEnd"/>
    </w:p>
    <w:p w14:paraId="002D5C94" w14:textId="550C6E33" w:rsidR="005D59B1" w:rsidRDefault="005D59B1" w:rsidP="004105CD">
      <w:pPr>
        <w:pStyle w:val="BodyTextIndent"/>
        <w:numPr>
          <w:ilvl w:val="0"/>
          <w:numId w:val="24"/>
        </w:numPr>
        <w:ind w:left="284" w:hanging="284"/>
        <w:rPr>
          <w:rStyle w:val="JACoWBodyTextIndentChar"/>
        </w:rPr>
      </w:pPr>
      <w:r>
        <w:rPr>
          <w:rStyle w:val="JACoWBodyTextIndentChar"/>
        </w:rPr>
        <w:t xml:space="preserve">attract private partners via use of the storage rings </w:t>
      </w:r>
      <w:r w:rsidR="004105CD">
        <w:rPr>
          <w:rStyle w:val="JACoWBodyTextIndentChar"/>
        </w:rPr>
        <w:t>to drive the</w:t>
      </w:r>
      <w:r>
        <w:rPr>
          <w:rStyle w:val="JACoWBodyTextIndentChar"/>
        </w:rPr>
        <w:t xml:space="preserve"> next generation of </w:t>
      </w:r>
      <w:r w:rsidR="007675EB">
        <w:rPr>
          <w:rStyle w:val="JACoWBodyTextIndentChar"/>
        </w:rPr>
        <w:t xml:space="preserve">the </w:t>
      </w:r>
      <w:r>
        <w:rPr>
          <w:rStyle w:val="JACoWBodyTextIndentChar"/>
        </w:rPr>
        <w:t>photon factories.</w:t>
      </w:r>
    </w:p>
    <w:p w14:paraId="6F3CFB7F" w14:textId="0546E8A6" w:rsidR="001E6AEF" w:rsidRDefault="001E6AEF" w:rsidP="005D59B1">
      <w:pPr>
        <w:pStyle w:val="BodyTextIndent"/>
        <w:ind w:firstLine="0"/>
        <w:rPr>
          <w:rStyle w:val="JACoWBodyTextIndentChar"/>
        </w:rPr>
      </w:pPr>
      <w:r w:rsidRPr="001E6AEF">
        <w:rPr>
          <w:rStyle w:val="JACoWBodyTextIndentChar"/>
        </w:rPr>
        <w:t>The concept presented can be potentially used to reach ultimate energy frontiers in high-energy physics as well as to drive next generation light sources</w:t>
      </w:r>
      <w:r w:rsidR="007675EB">
        <w:rPr>
          <w:rStyle w:val="JACoWBodyTextIndentChar"/>
        </w:rPr>
        <w:t>.</w:t>
      </w:r>
      <w:r w:rsidRPr="001E6AEF">
        <w:rPr>
          <w:rStyle w:val="JACoWBodyTextIndentChar"/>
        </w:rPr>
        <w:t xml:space="preserve"> </w:t>
      </w:r>
      <w:r w:rsidR="005D59B1">
        <w:rPr>
          <w:rStyle w:val="JACoWBodyTextIndentChar"/>
        </w:rPr>
        <w:t>We note that t</w:t>
      </w:r>
      <w:r w:rsidRPr="001E6AEF">
        <w:rPr>
          <w:rStyle w:val="JACoWBodyTextIndentChar"/>
        </w:rPr>
        <w:t xml:space="preserve">he numbers which will be presented are for illustration purpose and can be improved further.  </w:t>
      </w:r>
    </w:p>
    <w:p w14:paraId="0A15F312" w14:textId="77777777" w:rsidR="00944497" w:rsidRPr="009E6644" w:rsidRDefault="00944497" w:rsidP="00944497">
      <w:pPr>
        <w:pStyle w:val="JACoWSectionHeading"/>
        <w:spacing w:before="0"/>
        <w:rPr>
          <w:lang w:val="en-GB"/>
        </w:rPr>
      </w:pPr>
      <w:r>
        <w:rPr>
          <w:lang w:val="en-GB"/>
        </w:rPr>
        <w:t>Introduction</w:t>
      </w:r>
    </w:p>
    <w:p w14:paraId="478C79B3" w14:textId="03480CE3" w:rsidR="0096576B" w:rsidRDefault="00944497" w:rsidP="00944497">
      <w:pPr>
        <w:pStyle w:val="BodyTextIndent"/>
        <w:rPr>
          <w:kern w:val="16"/>
        </w:rPr>
      </w:pPr>
      <w:r w:rsidRPr="005D59B1">
        <w:rPr>
          <w:rStyle w:val="JACoWBodyTextIndentChar"/>
        </w:rPr>
        <w:t>Most of the accepted state-of-the-art designs, while reaching the energies required</w:t>
      </w:r>
      <w:r w:rsidR="0096576B">
        <w:rPr>
          <w:rStyle w:val="JACoWBodyTextIndentChar"/>
        </w:rPr>
        <w:t>,</w:t>
      </w:r>
      <w:r w:rsidRPr="005D59B1">
        <w:rPr>
          <w:rStyle w:val="JACoWBodyTextIndentChar"/>
        </w:rPr>
        <w:t xml:space="preserve"> show the same signs of limitations </w:t>
      </w:r>
      <w:r w:rsidR="00851BA8">
        <w:rPr>
          <w:rStyle w:val="JACoWBodyTextIndentChar"/>
        </w:rPr>
        <w:t>scientific</w:t>
      </w:r>
      <w:r w:rsidR="007675EB">
        <w:rPr>
          <w:rStyle w:val="JACoWBodyTextIndentChar"/>
        </w:rPr>
        <w:t>,</w:t>
      </w:r>
      <w:r w:rsidR="00851BA8">
        <w:rPr>
          <w:rStyle w:val="JACoWBodyTextIndentChar"/>
        </w:rPr>
        <w:t xml:space="preserve"> technological</w:t>
      </w:r>
      <w:r w:rsidR="007675EB">
        <w:rPr>
          <w:rStyle w:val="JACoWBodyTextIndentChar"/>
        </w:rPr>
        <w:t>,</w:t>
      </w:r>
      <w:r w:rsidR="00851BA8">
        <w:rPr>
          <w:rStyle w:val="JACoWBodyTextIndentChar"/>
        </w:rPr>
        <w:t xml:space="preserve"> </w:t>
      </w:r>
      <w:r w:rsidR="005618FF">
        <w:rPr>
          <w:rStyle w:val="JACoWBodyTextIndentChar"/>
        </w:rPr>
        <w:t>in</w:t>
      </w:r>
      <w:r w:rsidR="00851BA8">
        <w:rPr>
          <w:rStyle w:val="JACoWBodyTextIndentChar"/>
        </w:rPr>
        <w:t xml:space="preserve"> attract</w:t>
      </w:r>
      <w:r w:rsidR="005618FF">
        <w:rPr>
          <w:rStyle w:val="JACoWBodyTextIndentChar"/>
        </w:rPr>
        <w:t>ing</w:t>
      </w:r>
      <w:r w:rsidR="00851BA8">
        <w:rPr>
          <w:rStyle w:val="JACoWBodyTextIndentChar"/>
        </w:rPr>
        <w:t xml:space="preserve"> industrial </w:t>
      </w:r>
      <w:r w:rsidR="00851BA8">
        <w:rPr>
          <w:rStyle w:val="JACoWBodyTextIndentChar"/>
        </w:rPr>
        <w:t>partners a</w:t>
      </w:r>
      <w:r w:rsidR="007675EB">
        <w:rPr>
          <w:rStyle w:val="JACoWBodyTextIndentChar"/>
        </w:rPr>
        <w:t>s well as</w:t>
      </w:r>
      <w:r w:rsidR="00851BA8">
        <w:rPr>
          <w:rStyle w:val="JACoWBodyTextIndentChar"/>
        </w:rPr>
        <w:t xml:space="preserve"> accept</w:t>
      </w:r>
      <w:r w:rsidR="005618FF">
        <w:rPr>
          <w:rStyle w:val="JACoWBodyTextIndentChar"/>
        </w:rPr>
        <w:t>ing</w:t>
      </w:r>
      <w:r w:rsidR="00851BA8">
        <w:rPr>
          <w:rStyle w:val="JACoWBodyTextIndentChar"/>
        </w:rPr>
        <w:t xml:space="preserve"> flexible energy management </w:t>
      </w:r>
      <w:r w:rsidR="005D59B1">
        <w:rPr>
          <w:rStyle w:val="JACoWBodyTextIndentChar"/>
        </w:rPr>
        <w:t>[1-</w:t>
      </w:r>
      <w:r w:rsidR="007675EB">
        <w:rPr>
          <w:rStyle w:val="JACoWBodyTextIndentChar"/>
        </w:rPr>
        <w:t>6</w:t>
      </w:r>
      <w:r w:rsidR="005D59B1">
        <w:rPr>
          <w:rStyle w:val="JACoWBodyTextIndentChar"/>
        </w:rPr>
        <w:t>]</w:t>
      </w:r>
      <w:r w:rsidR="00D162A1" w:rsidRPr="009E6644">
        <w:rPr>
          <w:kern w:val="16"/>
        </w:rPr>
        <w:t>.</w:t>
      </w:r>
      <w:r w:rsidR="000C2DA2" w:rsidRPr="000C2DA2">
        <w:t xml:space="preserve"> </w:t>
      </w:r>
      <w:r w:rsidR="007675EB">
        <w:t>One notes that t</w:t>
      </w:r>
      <w:r w:rsidR="000C2DA2" w:rsidRPr="000C2DA2">
        <w:rPr>
          <w:kern w:val="16"/>
        </w:rPr>
        <w:t>he design of any such a complex machine is based on set of compromises</w:t>
      </w:r>
      <w:r w:rsidR="0096576B">
        <w:rPr>
          <w:kern w:val="16"/>
        </w:rPr>
        <w:t>, for example:</w:t>
      </w:r>
      <w:r w:rsidR="000C2DA2" w:rsidRPr="000C2DA2">
        <w:rPr>
          <w:kern w:val="16"/>
        </w:rPr>
        <w:t xml:space="preserve"> </w:t>
      </w:r>
      <w:r w:rsidR="0096576B">
        <w:rPr>
          <w:kern w:val="16"/>
        </w:rPr>
        <w:t>a</w:t>
      </w:r>
      <w:r w:rsidR="000C2DA2" w:rsidRPr="000C2DA2">
        <w:rPr>
          <w:kern w:val="16"/>
        </w:rPr>
        <w:t>t relatively low energies (sub-</w:t>
      </w:r>
      <w:proofErr w:type="spellStart"/>
      <w:r w:rsidR="000C2DA2" w:rsidRPr="000C2DA2">
        <w:rPr>
          <w:kern w:val="16"/>
        </w:rPr>
        <w:t>TeV</w:t>
      </w:r>
      <w:proofErr w:type="spellEnd"/>
      <w:r w:rsidR="000C2DA2" w:rsidRPr="000C2DA2">
        <w:rPr>
          <w:kern w:val="16"/>
        </w:rPr>
        <w:t>), a circular machine has a better ratio of the power (MW) required to the luminosity generated, making them more attractive as compared with the linear machines</w:t>
      </w:r>
      <w:r w:rsidR="0096576B">
        <w:rPr>
          <w:kern w:val="16"/>
        </w:rPr>
        <w:t>, while</w:t>
      </w:r>
      <w:r w:rsidR="000C2DA2" w:rsidRPr="000C2DA2">
        <w:rPr>
          <w:kern w:val="16"/>
        </w:rPr>
        <w:t xml:space="preserve"> </w:t>
      </w:r>
      <w:r w:rsidR="0096576B">
        <w:rPr>
          <w:kern w:val="16"/>
        </w:rPr>
        <w:t>a</w:t>
      </w:r>
      <w:r w:rsidR="000C2DA2" w:rsidRPr="000C2DA2">
        <w:rPr>
          <w:kern w:val="16"/>
        </w:rPr>
        <w:t xml:space="preserve">t high energies (above </w:t>
      </w:r>
      <w:proofErr w:type="spellStart"/>
      <w:r w:rsidR="000C2DA2" w:rsidRPr="000C2DA2">
        <w:rPr>
          <w:kern w:val="16"/>
        </w:rPr>
        <w:t>TeV</w:t>
      </w:r>
      <w:proofErr w:type="spellEnd"/>
      <w:r w:rsidR="000C2DA2" w:rsidRPr="000C2DA2">
        <w:rPr>
          <w:kern w:val="16"/>
        </w:rPr>
        <w:t xml:space="preserve">), there is no such advantage, and linear machines become more attractive. </w:t>
      </w:r>
      <w:r w:rsidR="007675EB">
        <w:rPr>
          <w:kern w:val="16"/>
        </w:rPr>
        <w:t xml:space="preserve">As a </w:t>
      </w:r>
      <w:r w:rsidR="00622A23">
        <w:rPr>
          <w:kern w:val="16"/>
        </w:rPr>
        <w:t>result,</w:t>
      </w:r>
      <w:r w:rsidR="007675EB">
        <w:rPr>
          <w:kern w:val="16"/>
        </w:rPr>
        <w:t xml:space="preserve"> a</w:t>
      </w:r>
      <w:r w:rsidR="00324660">
        <w:rPr>
          <w:kern w:val="16"/>
        </w:rPr>
        <w:t>ll the state</w:t>
      </w:r>
      <w:r w:rsidR="0096576B">
        <w:rPr>
          <w:kern w:val="16"/>
        </w:rPr>
        <w:t>-</w:t>
      </w:r>
      <w:r w:rsidR="00324660">
        <w:rPr>
          <w:kern w:val="16"/>
        </w:rPr>
        <w:t>of</w:t>
      </w:r>
      <w:r w:rsidR="0096576B">
        <w:rPr>
          <w:kern w:val="16"/>
        </w:rPr>
        <w:t>-</w:t>
      </w:r>
      <w:r w:rsidR="00324660">
        <w:rPr>
          <w:kern w:val="16"/>
        </w:rPr>
        <w:t>the</w:t>
      </w:r>
      <w:r w:rsidR="0096576B">
        <w:rPr>
          <w:kern w:val="16"/>
        </w:rPr>
        <w:t>-art</w:t>
      </w:r>
      <w:r w:rsidR="00324660">
        <w:rPr>
          <w:kern w:val="16"/>
        </w:rPr>
        <w:t xml:space="preserve"> designs are focused on scientific and technological challenges while addressing issues </w:t>
      </w:r>
      <w:r w:rsidR="0096576B">
        <w:rPr>
          <w:kern w:val="16"/>
        </w:rPr>
        <w:t xml:space="preserve">of </w:t>
      </w:r>
      <w:r w:rsidR="00324660">
        <w:rPr>
          <w:kern w:val="16"/>
        </w:rPr>
        <w:t xml:space="preserve">societal acceptances and attracting industrial partners are </w:t>
      </w:r>
      <w:r w:rsidR="005618FF">
        <w:rPr>
          <w:kern w:val="16"/>
        </w:rPr>
        <w:t xml:space="preserve">often </w:t>
      </w:r>
      <w:r w:rsidR="00324660">
        <w:rPr>
          <w:kern w:val="16"/>
        </w:rPr>
        <w:t xml:space="preserve">left outside the </w:t>
      </w:r>
      <w:r w:rsidR="005618FF">
        <w:rPr>
          <w:kern w:val="16"/>
        </w:rPr>
        <w:t xml:space="preserve">main </w:t>
      </w:r>
      <w:r w:rsidR="00324660">
        <w:rPr>
          <w:kern w:val="16"/>
        </w:rPr>
        <w:t>scope</w:t>
      </w:r>
      <w:r w:rsidR="005618FF">
        <w:rPr>
          <w:kern w:val="16"/>
        </w:rPr>
        <w:t>s</w:t>
      </w:r>
      <w:r w:rsidR="00324660">
        <w:rPr>
          <w:kern w:val="16"/>
        </w:rPr>
        <w:t>. Nevertheless, a</w:t>
      </w:r>
      <w:r w:rsidR="00851BA8">
        <w:rPr>
          <w:kern w:val="16"/>
        </w:rPr>
        <w:t xml:space="preserve">ttracting industrial partners </w:t>
      </w:r>
      <w:r w:rsidR="005618FF">
        <w:rPr>
          <w:kern w:val="16"/>
        </w:rPr>
        <w:t xml:space="preserve">from the start </w:t>
      </w:r>
      <w:r w:rsidR="00851BA8">
        <w:rPr>
          <w:kern w:val="16"/>
        </w:rPr>
        <w:t xml:space="preserve">and making energy management </w:t>
      </w:r>
      <w:r w:rsidR="0096576B">
        <w:rPr>
          <w:kern w:val="16"/>
        </w:rPr>
        <w:t>flexible,</w:t>
      </w:r>
      <w:r w:rsidR="00851BA8">
        <w:rPr>
          <w:kern w:val="16"/>
        </w:rPr>
        <w:t xml:space="preserve"> </w:t>
      </w:r>
      <w:proofErr w:type="gramStart"/>
      <w:r w:rsidR="007675EB">
        <w:rPr>
          <w:kern w:val="16"/>
        </w:rPr>
        <w:t>i.e.</w:t>
      </w:r>
      <w:proofErr w:type="gramEnd"/>
      <w:r w:rsidR="007675EB">
        <w:rPr>
          <w:kern w:val="16"/>
        </w:rPr>
        <w:t xml:space="preserve"> </w:t>
      </w:r>
      <w:r w:rsidR="00851BA8">
        <w:rPr>
          <w:kern w:val="16"/>
        </w:rPr>
        <w:t xml:space="preserve">symbiotic with </w:t>
      </w:r>
      <w:r w:rsidR="007675EB">
        <w:rPr>
          <w:kern w:val="16"/>
        </w:rPr>
        <w:t>surrounding</w:t>
      </w:r>
      <w:r w:rsidR="00851BA8">
        <w:rPr>
          <w:kern w:val="16"/>
        </w:rPr>
        <w:t xml:space="preserve"> </w:t>
      </w:r>
      <w:r w:rsidR="00324660">
        <w:rPr>
          <w:kern w:val="16"/>
        </w:rPr>
        <w:t>environment</w:t>
      </w:r>
      <w:r w:rsidR="007675EB">
        <w:rPr>
          <w:kern w:val="16"/>
        </w:rPr>
        <w:t>,</w:t>
      </w:r>
      <w:r w:rsidR="00851BA8">
        <w:rPr>
          <w:kern w:val="16"/>
        </w:rPr>
        <w:t xml:space="preserve"> will allow the natural </w:t>
      </w:r>
      <w:r w:rsidR="00324660">
        <w:rPr>
          <w:kern w:val="16"/>
        </w:rPr>
        <w:t xml:space="preserve">and friendly </w:t>
      </w:r>
      <w:r w:rsidR="00851BA8">
        <w:rPr>
          <w:kern w:val="16"/>
        </w:rPr>
        <w:t xml:space="preserve">merging of </w:t>
      </w:r>
      <w:r w:rsidR="00324660">
        <w:rPr>
          <w:kern w:val="16"/>
        </w:rPr>
        <w:t>the</w:t>
      </w:r>
      <w:r w:rsidR="00851BA8">
        <w:rPr>
          <w:kern w:val="16"/>
        </w:rPr>
        <w:t xml:space="preserve"> machine into local community. In spite the obvious advantages even most recent suggestions [</w:t>
      </w:r>
      <w:r w:rsidR="007675EB">
        <w:rPr>
          <w:kern w:val="16"/>
        </w:rPr>
        <w:t>2-6</w:t>
      </w:r>
      <w:r w:rsidR="00851BA8">
        <w:rPr>
          <w:kern w:val="16"/>
        </w:rPr>
        <w:t xml:space="preserve">] are not addressing these issues. In this </w:t>
      </w:r>
      <w:r w:rsidR="00324660">
        <w:rPr>
          <w:kern w:val="16"/>
        </w:rPr>
        <w:t>work</w:t>
      </w:r>
      <w:r w:rsidR="007675EB">
        <w:rPr>
          <w:kern w:val="16"/>
        </w:rPr>
        <w:t xml:space="preserve"> </w:t>
      </w:r>
      <w:r w:rsidR="005815D7">
        <w:rPr>
          <w:kern w:val="16"/>
        </w:rPr>
        <w:t>we</w:t>
      </w:r>
      <w:r w:rsidR="00324660">
        <w:rPr>
          <w:kern w:val="16"/>
        </w:rPr>
        <w:t xml:space="preserve"> </w:t>
      </w:r>
      <w:r w:rsidR="005815D7">
        <w:rPr>
          <w:kern w:val="16"/>
        </w:rPr>
        <w:t>discuss the concept</w:t>
      </w:r>
      <w:r w:rsidR="0096576B">
        <w:rPr>
          <w:kern w:val="16"/>
        </w:rPr>
        <w:t xml:space="preserve"> (fig.1),</w:t>
      </w:r>
      <w:r w:rsidR="005815D7">
        <w:rPr>
          <w:kern w:val="16"/>
        </w:rPr>
        <w:t xml:space="preserve"> which tries to </w:t>
      </w:r>
      <w:proofErr w:type="gramStart"/>
      <w:r w:rsidR="005815D7">
        <w:rPr>
          <w:kern w:val="16"/>
        </w:rPr>
        <w:t>take into account</w:t>
      </w:r>
      <w:proofErr w:type="gramEnd"/>
      <w:r w:rsidR="005815D7">
        <w:rPr>
          <w:kern w:val="16"/>
        </w:rPr>
        <w:t xml:space="preserve"> the possibility of attracting industrial partners via enabling for example EUV lithography and microchip quality assessment</w:t>
      </w:r>
      <w:r w:rsidR="007675EB">
        <w:rPr>
          <w:kern w:val="16"/>
        </w:rPr>
        <w:t>,</w:t>
      </w:r>
      <w:r w:rsidR="005815D7">
        <w:rPr>
          <w:kern w:val="16"/>
        </w:rPr>
        <w:t xml:space="preserve"> pharmaceutical studies and novel material research, development and production</w:t>
      </w:r>
      <w:r w:rsidR="007A61BE">
        <w:rPr>
          <w:kern w:val="16"/>
        </w:rPr>
        <w:t xml:space="preserve"> [</w:t>
      </w:r>
      <w:r w:rsidR="007675EB">
        <w:rPr>
          <w:kern w:val="16"/>
        </w:rPr>
        <w:t>9-12</w:t>
      </w:r>
      <w:r w:rsidR="007A61BE">
        <w:rPr>
          <w:kern w:val="16"/>
        </w:rPr>
        <w:t>],</w:t>
      </w:r>
      <w:r w:rsidR="005815D7">
        <w:rPr>
          <w:kern w:val="16"/>
        </w:rPr>
        <w:t xml:space="preserve"> </w:t>
      </w:r>
      <w:r w:rsidR="007A61BE">
        <w:rPr>
          <w:kern w:val="16"/>
        </w:rPr>
        <w:t xml:space="preserve">and </w:t>
      </w:r>
      <w:r w:rsidR="005815D7">
        <w:rPr>
          <w:kern w:val="16"/>
        </w:rPr>
        <w:t xml:space="preserve">simultaneously allowing efficient energy management of the whole complex. </w:t>
      </w:r>
      <w:r w:rsidR="007303C3">
        <w:rPr>
          <w:kern w:val="16"/>
        </w:rPr>
        <w:t>T</w:t>
      </w:r>
      <w:r w:rsidR="005815D7">
        <w:rPr>
          <w:kern w:val="16"/>
        </w:rPr>
        <w:t>his can be achieved by introducing</w:t>
      </w:r>
      <w:r w:rsidR="0096576B">
        <w:rPr>
          <w:kern w:val="16"/>
        </w:rPr>
        <w:t xml:space="preserve">: </w:t>
      </w:r>
    </w:p>
    <w:p w14:paraId="06F0459E" w14:textId="009FDE55" w:rsidR="0096576B" w:rsidRDefault="0096576B" w:rsidP="00944497">
      <w:pPr>
        <w:pStyle w:val="BodyTextIndent"/>
        <w:rPr>
          <w:kern w:val="16"/>
        </w:rPr>
      </w:pPr>
      <w:r>
        <w:rPr>
          <w:kern w:val="16"/>
        </w:rPr>
        <w:t>(a)</w:t>
      </w:r>
      <w:r w:rsidR="005815D7">
        <w:rPr>
          <w:kern w:val="16"/>
        </w:rPr>
        <w:t xml:space="preserve"> “non-emitting” storage rings</w:t>
      </w:r>
      <w:r w:rsidR="007303C3">
        <w:rPr>
          <w:kern w:val="16"/>
        </w:rPr>
        <w:t>,</w:t>
      </w:r>
      <w:r w:rsidR="005815D7">
        <w:rPr>
          <w:kern w:val="16"/>
        </w:rPr>
        <w:t xml:space="preserve"> between recirculating energy recovery system (RERS) and linear energy recovery collider (LER</w:t>
      </w:r>
      <w:r w:rsidR="00D33A16">
        <w:rPr>
          <w:kern w:val="16"/>
        </w:rPr>
        <w:t>-</w:t>
      </w:r>
      <w:r w:rsidR="005815D7">
        <w:rPr>
          <w:kern w:val="16"/>
        </w:rPr>
        <w:t xml:space="preserve">C). Such “non-emitting” rings will </w:t>
      </w:r>
      <w:r w:rsidR="007A61BE">
        <w:rPr>
          <w:kern w:val="16"/>
        </w:rPr>
        <w:t xml:space="preserve">be able to </w:t>
      </w:r>
      <w:r w:rsidR="005815D7">
        <w:rPr>
          <w:kern w:val="16"/>
        </w:rPr>
        <w:t xml:space="preserve">redistribute </w:t>
      </w:r>
      <w:r w:rsidR="000C2DA2">
        <w:rPr>
          <w:kern w:val="16"/>
        </w:rPr>
        <w:t xml:space="preserve">intermediate energy (1GeV) </w:t>
      </w:r>
      <w:r w:rsidR="007A61BE">
        <w:rPr>
          <w:kern w:val="16"/>
        </w:rPr>
        <w:t>bunches</w:t>
      </w:r>
      <w:r w:rsidR="000C2DA2">
        <w:rPr>
          <w:kern w:val="16"/>
        </w:rPr>
        <w:t xml:space="preserve"> between photon factories (FEL</w:t>
      </w:r>
      <w:r>
        <w:rPr>
          <w:kern w:val="16"/>
        </w:rPr>
        <w:t>-</w:t>
      </w:r>
      <w:r w:rsidR="000C2DA2">
        <w:rPr>
          <w:kern w:val="16"/>
        </w:rPr>
        <w:t>stations) and LER</w:t>
      </w:r>
      <w:r w:rsidR="00D33A16">
        <w:rPr>
          <w:kern w:val="16"/>
        </w:rPr>
        <w:t>-</w:t>
      </w:r>
      <w:proofErr w:type="gramStart"/>
      <w:r w:rsidR="000C2DA2">
        <w:rPr>
          <w:kern w:val="16"/>
        </w:rPr>
        <w:t>C</w:t>
      </w:r>
      <w:r>
        <w:rPr>
          <w:kern w:val="16"/>
        </w:rPr>
        <w:t>;</w:t>
      </w:r>
      <w:proofErr w:type="gramEnd"/>
    </w:p>
    <w:p w14:paraId="10C96B06" w14:textId="43FA1F4C" w:rsidR="0096576B" w:rsidRDefault="0096576B" w:rsidP="00944497">
      <w:pPr>
        <w:pStyle w:val="BodyTextIndent"/>
        <w:rPr>
          <w:kern w:val="16"/>
        </w:rPr>
      </w:pPr>
      <w:r>
        <w:rPr>
          <w:kern w:val="16"/>
        </w:rPr>
        <w:t>(b) dual axis asymmetric cavities</w:t>
      </w:r>
      <w:r w:rsidR="000C2DA2">
        <w:rPr>
          <w:kern w:val="16"/>
        </w:rPr>
        <w:t xml:space="preserve"> </w:t>
      </w:r>
      <w:r>
        <w:rPr>
          <w:kern w:val="16"/>
        </w:rPr>
        <w:t>(fig.2) to assure t</w:t>
      </w:r>
      <w:r w:rsidR="000C2DA2">
        <w:rPr>
          <w:kern w:val="16"/>
        </w:rPr>
        <w:t>he energy recovery of the high current (around 1A) spent electron beam</w:t>
      </w:r>
      <w:r w:rsidR="00622A23">
        <w:rPr>
          <w:kern w:val="16"/>
        </w:rPr>
        <w:t>s</w:t>
      </w:r>
      <w:r w:rsidR="000C2DA2">
        <w:rPr>
          <w:kern w:val="16"/>
        </w:rPr>
        <w:t xml:space="preserve"> [</w:t>
      </w:r>
      <w:r w:rsidR="007303C3">
        <w:rPr>
          <w:kern w:val="16"/>
        </w:rPr>
        <w:t>12-16</w:t>
      </w:r>
      <w:r w:rsidR="000C2DA2">
        <w:rPr>
          <w:kern w:val="16"/>
        </w:rPr>
        <w:t>]</w:t>
      </w:r>
      <w:r w:rsidR="00622A23">
        <w:rPr>
          <w:kern w:val="16"/>
        </w:rPr>
        <w:t xml:space="preserve"> at all steps</w:t>
      </w:r>
      <w:r w:rsidR="000C2DA2">
        <w:rPr>
          <w:kern w:val="16"/>
        </w:rPr>
        <w:t xml:space="preserve">. </w:t>
      </w:r>
    </w:p>
    <w:p w14:paraId="6069C776" w14:textId="526B666A" w:rsidR="00003BFA" w:rsidRDefault="007303C3" w:rsidP="007303C3">
      <w:pPr>
        <w:pStyle w:val="BodyTextIndent"/>
        <w:ind w:firstLine="0"/>
        <w:rPr>
          <w:kern w:val="16"/>
        </w:rPr>
      </w:pPr>
      <w:r>
        <w:rPr>
          <w:kern w:val="16"/>
        </w:rPr>
        <w:t xml:space="preserve">We </w:t>
      </w:r>
      <w:proofErr w:type="gramStart"/>
      <w:r>
        <w:rPr>
          <w:kern w:val="16"/>
        </w:rPr>
        <w:t>note,</w:t>
      </w:r>
      <w:proofErr w:type="gramEnd"/>
      <w:r>
        <w:rPr>
          <w:kern w:val="16"/>
        </w:rPr>
        <w:t xml:space="preserve"> that t</w:t>
      </w:r>
      <w:r w:rsidR="007A61BE">
        <w:rPr>
          <w:kern w:val="16"/>
        </w:rPr>
        <w:t xml:space="preserve">he concept </w:t>
      </w:r>
      <w:r w:rsidR="0096576B">
        <w:rPr>
          <w:kern w:val="16"/>
        </w:rPr>
        <w:t>(fig.1)</w:t>
      </w:r>
      <w:r>
        <w:rPr>
          <w:kern w:val="16"/>
        </w:rPr>
        <w:t>,</w:t>
      </w:r>
      <w:r w:rsidR="0096576B">
        <w:rPr>
          <w:kern w:val="16"/>
        </w:rPr>
        <w:t xml:space="preserve"> </w:t>
      </w:r>
      <w:r w:rsidR="007A61BE">
        <w:rPr>
          <w:kern w:val="16"/>
        </w:rPr>
        <w:t>which will be presented</w:t>
      </w:r>
      <w:r>
        <w:rPr>
          <w:kern w:val="16"/>
        </w:rPr>
        <w:t>,</w:t>
      </w:r>
      <w:r w:rsidR="007A61BE">
        <w:rPr>
          <w:kern w:val="16"/>
        </w:rPr>
        <w:t xml:space="preserve"> is based on </w:t>
      </w:r>
      <w:r w:rsidR="00622A23">
        <w:rPr>
          <w:kern w:val="16"/>
        </w:rPr>
        <w:t xml:space="preserve">the </w:t>
      </w:r>
      <w:r w:rsidR="007A61BE">
        <w:rPr>
          <w:kern w:val="16"/>
        </w:rPr>
        <w:t>sy</w:t>
      </w:r>
      <w:r w:rsidR="005D46D7">
        <w:rPr>
          <w:kern w:val="16"/>
        </w:rPr>
        <w:t>stems</w:t>
      </w:r>
      <w:r w:rsidR="00622A23">
        <w:rPr>
          <w:kern w:val="16"/>
        </w:rPr>
        <w:t>,</w:t>
      </w:r>
      <w:r w:rsidR="005D46D7">
        <w:rPr>
          <w:kern w:val="16"/>
        </w:rPr>
        <w:t xml:space="preserve"> which has already been considered </w:t>
      </w:r>
      <w:r w:rsidR="005D46D7">
        <w:rPr>
          <w:kern w:val="16"/>
        </w:rPr>
        <w:lastRenderedPageBreak/>
        <w:t xml:space="preserve">for construction (like ILC), commissioned (like CBETA) </w:t>
      </w:r>
      <w:r>
        <w:rPr>
          <w:kern w:val="16"/>
        </w:rPr>
        <w:t>or</w:t>
      </w:r>
      <w:r w:rsidR="005D46D7">
        <w:rPr>
          <w:kern w:val="16"/>
        </w:rPr>
        <w:t xml:space="preserve"> demonstrated its capabilities (like MAX-IV)</w:t>
      </w:r>
      <w:r>
        <w:rPr>
          <w:kern w:val="16"/>
        </w:rPr>
        <w:t>.</w:t>
      </w:r>
      <w:r w:rsidR="005D46D7">
        <w:rPr>
          <w:kern w:val="16"/>
        </w:rPr>
        <w:t xml:space="preserve"> </w:t>
      </w:r>
    </w:p>
    <w:p w14:paraId="41817743" w14:textId="4DD7ED56" w:rsidR="00003BFA" w:rsidRDefault="004D143A" w:rsidP="005D46D7">
      <w:pPr>
        <w:pStyle w:val="BodyTextIndent"/>
        <w:rPr>
          <w:kern w:val="16"/>
        </w:rPr>
      </w:pPr>
      <w:r>
        <w:rPr>
          <w:noProof/>
          <w:kern w:val="16"/>
        </w:rPr>
        <mc:AlternateContent>
          <mc:Choice Requires="wps">
            <w:drawing>
              <wp:anchor distT="0" distB="0" distL="114300" distR="114300" simplePos="0" relativeHeight="251679232" behindDoc="0" locked="0" layoutInCell="1" allowOverlap="1" wp14:anchorId="5390CEAB" wp14:editId="222787B9">
                <wp:simplePos x="0" y="0"/>
                <wp:positionH relativeFrom="column">
                  <wp:posOffset>262890</wp:posOffset>
                </wp:positionH>
                <wp:positionV relativeFrom="paragraph">
                  <wp:posOffset>565150</wp:posOffset>
                </wp:positionV>
                <wp:extent cx="438150" cy="2952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38150" cy="295275"/>
                        </a:xfrm>
                        <a:prstGeom prst="rect">
                          <a:avLst/>
                        </a:prstGeom>
                        <a:noFill/>
                        <a:ln w="6350">
                          <a:noFill/>
                        </a:ln>
                      </wps:spPr>
                      <wps:txbx>
                        <w:txbxContent>
                          <w:p w14:paraId="42604018" w14:textId="5111A93F" w:rsidR="004D143A" w:rsidRPr="004D143A" w:rsidRDefault="004D143A" w:rsidP="004D143A">
                            <w:r w:rsidRPr="004D143A">
                              <w:t>a2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390CEAB" id="_x0000_t202" coordsize="21600,21600" o:spt="202" path="m,l,21600r21600,l21600,xe">
                <v:stroke joinstyle="miter"/>
                <v:path gradientshapeok="t" o:connecttype="rect"/>
              </v:shapetype>
              <v:shape id="Text Box 28" o:spid="_x0000_s1026" type="#_x0000_t202" style="position:absolute;left:0;text-align:left;margin-left:20.7pt;margin-top:44.5pt;width:34.5pt;height:23.25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" filled="f" stroked="f" strokeweight=".5pt">
                <v:textbox>
                  <w:txbxContent>
                    <w:p w14:paraId="42604018" w14:textId="5111A93F" w:rsidR="004D143A" w:rsidRPr="004D143A" w:rsidRDefault="004D143A" w:rsidP="004D143A">
                      <w:r w:rsidRPr="004D143A">
                        <w:t>a</w:t>
                      </w:r>
                      <w:r w:rsidRPr="004D143A">
                        <w:t>2</w:t>
                      </w:r>
                    </w:p>
                  </w:txbxContent>
                </v:textbox>
              </v:shape>
            </w:pict>
          </mc:Fallback>
        </mc:AlternateContent>
      </w:r>
      <w:r>
        <w:rPr>
          <w:noProof/>
          <w:kern w:val="16"/>
        </w:rPr>
        <mc:AlternateContent>
          <mc:Choice Requires="wps">
            <w:drawing>
              <wp:anchor distT="0" distB="0" distL="114300" distR="114300" simplePos="0" relativeHeight="251677184" behindDoc="0" locked="0" layoutInCell="1" allowOverlap="1" wp14:anchorId="4C522878" wp14:editId="00C3F00C">
                <wp:simplePos x="0" y="0"/>
                <wp:positionH relativeFrom="column">
                  <wp:posOffset>253365</wp:posOffset>
                </wp:positionH>
                <wp:positionV relativeFrom="paragraph">
                  <wp:posOffset>60325</wp:posOffset>
                </wp:positionV>
                <wp:extent cx="438150" cy="29527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38150" cy="295275"/>
                        </a:xfrm>
                        <a:prstGeom prst="rect">
                          <a:avLst/>
                        </a:prstGeom>
                        <a:noFill/>
                        <a:ln w="6350">
                          <a:noFill/>
                        </a:ln>
                      </wps:spPr>
                      <wps:txbx>
                        <w:txbxContent>
                          <w:p w14:paraId="408A61E9" w14:textId="3E14F014" w:rsidR="004D143A" w:rsidRPr="004D143A" w:rsidRDefault="004D143A" w:rsidP="004D143A">
                            <w:pPr>
                              <w:rPr>
                                <w:color w:val="FF0000"/>
                              </w:rPr>
                            </w:pPr>
                            <w:r>
                              <w:rPr>
                                <w:color w:val="FF0000"/>
                              </w:rPr>
                              <w:t>a</w:t>
                            </w:r>
                            <w:r w:rsidRPr="004D143A">
                              <w:rPr>
                                <w:color w:val="FF00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522878" id="Text Box 27" o:spid="_x0000_s1027" type="#_x0000_t202" style="position:absolute;left:0;text-align:left;margin-left:19.95pt;margin-top:4.75pt;width:34.5pt;height:23.25pt;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" filled="f" stroked="f" strokeweight=".5pt">
                <v:textbox>
                  <w:txbxContent>
                    <w:p w14:paraId="408A61E9" w14:textId="3E14F014" w:rsidR="004D143A" w:rsidRPr="004D143A" w:rsidRDefault="004D143A" w:rsidP="004D143A">
                      <w:pPr>
                        <w:rPr>
                          <w:color w:val="FF0000"/>
                        </w:rPr>
                      </w:pPr>
                      <w:r>
                        <w:rPr>
                          <w:color w:val="FF0000"/>
                        </w:rPr>
                        <w:t>a</w:t>
                      </w:r>
                      <w:r w:rsidRPr="004D143A">
                        <w:rPr>
                          <w:color w:val="FF0000"/>
                        </w:rPr>
                        <w:t>1</w:t>
                      </w:r>
                    </w:p>
                  </w:txbxContent>
                </v:textbox>
              </v:shape>
            </w:pict>
          </mc:Fallback>
        </mc:AlternateContent>
      </w:r>
      <w:r>
        <w:rPr>
          <w:noProof/>
          <w:kern w:val="16"/>
        </w:rPr>
        <mc:AlternateContent>
          <mc:Choice Requires="wps">
            <w:drawing>
              <wp:anchor distT="0" distB="0" distL="114300" distR="114300" simplePos="0" relativeHeight="251675136" behindDoc="0" locked="0" layoutInCell="1" allowOverlap="1" wp14:anchorId="75299519" wp14:editId="2DB70A59">
                <wp:simplePos x="0" y="0"/>
                <wp:positionH relativeFrom="column">
                  <wp:posOffset>424815</wp:posOffset>
                </wp:positionH>
                <wp:positionV relativeFrom="paragraph">
                  <wp:posOffset>768350</wp:posOffset>
                </wp:positionV>
                <wp:extent cx="2181225" cy="0"/>
                <wp:effectExtent l="0" t="0" r="0" b="0"/>
                <wp:wrapNone/>
                <wp:docPr id="26" name="Straight Connector 26"/>
                <wp:cNvGraphicFramePr/>
                <a:graphic xmlns:a="http://schemas.openxmlformats.org/drawingml/2006/main">
                  <a:graphicData uri="http://schemas.microsoft.com/office/word/2010/wordprocessingShape">
                    <wps:wsp>
                      <wps:cNvCnPr/>
                      <wps:spPr>
                        <a:xfrm>
                          <a:off x="0" y="0"/>
                          <a:ext cx="2181225" cy="0"/>
                        </a:xfrm>
                        <a:prstGeom prst="line">
                          <a:avLst/>
                        </a:prstGeom>
                        <a:noFill/>
                        <a:ln w="15875" cap="flat" cmpd="sng" algn="ctr">
                          <a:solidFill>
                            <a:schemeClr val="tx1"/>
                          </a:solidFill>
                          <a:prstDash val="lgDashDot"/>
                        </a:ln>
                        <a:effectLst/>
                      </wps:spPr>
                      <wps:bodyPr/>
                    </wps:wsp>
                  </a:graphicData>
                </a:graphic>
                <wp14:sizeRelH relativeFrom="margin">
                  <wp14:pctWidth>0</wp14:pctWidth>
                </wp14:sizeRelH>
                <wp14:sizeRelV relativeFrom="margin">
                  <wp14:pctHeight>0</wp14:pctHeight>
                </wp14:sizeRelV>
              </wp:anchor>
            </w:drawing>
          </mc:Choice>
          <mc:Fallback>
            <w:pict>
              <v:line w14:anchorId="6DF1754B" id="Straight Connector 26"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5pt,60.5pt" to="205.2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" strokecolor="black [3213]" strokeweight="1.25pt">
                <v:stroke dashstyle="longDashDot"/>
              </v:line>
            </w:pict>
          </mc:Fallback>
        </mc:AlternateContent>
      </w:r>
      <w:r>
        <w:rPr>
          <w:noProof/>
          <w:kern w:val="16"/>
        </w:rPr>
        <mc:AlternateContent>
          <mc:Choice Requires="wps">
            <w:drawing>
              <wp:anchor distT="0" distB="0" distL="114300" distR="114300" simplePos="0" relativeHeight="251673088" behindDoc="0" locked="0" layoutInCell="1" allowOverlap="1" wp14:anchorId="6CA83A0F" wp14:editId="252B3464">
                <wp:simplePos x="0" y="0"/>
                <wp:positionH relativeFrom="column">
                  <wp:posOffset>391160</wp:posOffset>
                </wp:positionH>
                <wp:positionV relativeFrom="paragraph">
                  <wp:posOffset>300355</wp:posOffset>
                </wp:positionV>
                <wp:extent cx="2181225" cy="0"/>
                <wp:effectExtent l="0" t="0" r="0" b="0"/>
                <wp:wrapNone/>
                <wp:docPr id="25" name="Straight Connector 25"/>
                <wp:cNvGraphicFramePr/>
                <a:graphic xmlns:a="http://schemas.openxmlformats.org/drawingml/2006/main">
                  <a:graphicData uri="http://schemas.microsoft.com/office/word/2010/wordprocessingShape">
                    <wps:wsp>
                      <wps:cNvCnPr/>
                      <wps:spPr>
                        <a:xfrm>
                          <a:off x="0" y="0"/>
                          <a:ext cx="2181225" cy="0"/>
                        </a:xfrm>
                        <a:prstGeom prst="line">
                          <a:avLst/>
                        </a:prstGeom>
                        <a:ln w="15875">
                          <a:solidFill>
                            <a:srgbClr val="FF0000"/>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EFAA8F" id="Straight Connector 25"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pt,23.65pt" to="202.5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" strokecolor="red" strokeweight="1.25pt">
                <v:stroke dashstyle="longDashDot"/>
              </v:line>
            </w:pict>
          </mc:Fallback>
        </mc:AlternateContent>
      </w:r>
      <w:r>
        <w:rPr>
          <w:noProof/>
          <w:kern w:val="16"/>
        </w:rPr>
        <mc:AlternateContent>
          <mc:Choice Requires="wps">
            <w:drawing>
              <wp:anchor distT="0" distB="0" distL="114300" distR="114300" simplePos="0" relativeHeight="251672064" behindDoc="0" locked="0" layoutInCell="1" allowOverlap="1" wp14:anchorId="75F3FE65" wp14:editId="2266B2B9">
                <wp:simplePos x="0" y="0"/>
                <wp:positionH relativeFrom="column">
                  <wp:align>right</wp:align>
                </wp:positionH>
                <wp:positionV relativeFrom="paragraph">
                  <wp:posOffset>984250</wp:posOffset>
                </wp:positionV>
                <wp:extent cx="438150" cy="2952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38150" cy="295275"/>
                        </a:xfrm>
                        <a:prstGeom prst="rect">
                          <a:avLst/>
                        </a:prstGeom>
                        <a:noFill/>
                        <a:ln w="6350">
                          <a:noFill/>
                        </a:ln>
                      </wps:spPr>
                      <wps:txbx>
                        <w:txbxContent>
                          <w:p w14:paraId="2E5855CD" w14:textId="1F5F35E8" w:rsidR="004D143A" w:rsidRPr="004D143A" w:rsidRDefault="004D143A" w:rsidP="004D143A">
                            <w:pPr>
                              <w:rPr>
                                <w:b/>
                                <w:bCs/>
                              </w:rPr>
                            </w:pPr>
                            <w:r w:rsidRPr="004D143A">
                              <w:rPr>
                                <w:b/>
                                <w:bCs/>
                              </w:rPr>
                              <w:t>(</w:t>
                            </w:r>
                            <w:r>
                              <w:rPr>
                                <w:b/>
                                <w:bCs/>
                              </w:rPr>
                              <w:t>b</w:t>
                            </w:r>
                            <w:r w:rsidRPr="004D143A">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F3FE65" id="Text Box 24" o:spid="_x0000_s1028" type="#_x0000_t202" style="position:absolute;left:0;text-align:left;margin-left:-16.7pt;margin-top:77.5pt;width:34.5pt;height:23.25pt;z-index:251672064;visibility:visible;mso-wrap-style:square;mso-width-percent:0;mso-wrap-distance-left:9pt;mso-wrap-distance-top:0;mso-wrap-distance-right:9pt;mso-wrap-distance-bottom:0;mso-position-horizontal:right;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" filled="f" stroked="f" strokeweight=".5pt">
                <v:textbox>
                  <w:txbxContent>
                    <w:p w14:paraId="2E5855CD" w14:textId="1F5F35E8" w:rsidR="004D143A" w:rsidRPr="004D143A" w:rsidRDefault="004D143A" w:rsidP="004D143A">
                      <w:pPr>
                        <w:rPr>
                          <w:b/>
                          <w:bCs/>
                        </w:rPr>
                      </w:pPr>
                      <w:r w:rsidRPr="004D143A">
                        <w:rPr>
                          <w:b/>
                          <w:bCs/>
                        </w:rPr>
                        <w:t>(</w:t>
                      </w:r>
                      <w:r>
                        <w:rPr>
                          <w:b/>
                          <w:bCs/>
                        </w:rPr>
                        <w:t>b</w:t>
                      </w:r>
                      <w:r w:rsidRPr="004D143A">
                        <w:rPr>
                          <w:b/>
                          <w:bCs/>
                        </w:rPr>
                        <w:t>)</w:t>
                      </w:r>
                    </w:p>
                  </w:txbxContent>
                </v:textbox>
              </v:shape>
            </w:pict>
          </mc:Fallback>
        </mc:AlternateContent>
      </w:r>
      <w:r>
        <w:rPr>
          <w:noProof/>
          <w:kern w:val="16"/>
        </w:rPr>
        <mc:AlternateContent>
          <mc:Choice Requires="wps">
            <w:drawing>
              <wp:anchor distT="0" distB="0" distL="114300" distR="114300" simplePos="0" relativeHeight="251670016" behindDoc="0" locked="0" layoutInCell="1" allowOverlap="1" wp14:anchorId="388D8516" wp14:editId="09EF0FDD">
                <wp:simplePos x="0" y="0"/>
                <wp:positionH relativeFrom="column">
                  <wp:align>right</wp:align>
                </wp:positionH>
                <wp:positionV relativeFrom="paragraph">
                  <wp:posOffset>109855</wp:posOffset>
                </wp:positionV>
                <wp:extent cx="438150" cy="2952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38150" cy="295275"/>
                        </a:xfrm>
                        <a:prstGeom prst="rect">
                          <a:avLst/>
                        </a:prstGeom>
                        <a:noFill/>
                        <a:ln w="6350">
                          <a:noFill/>
                        </a:ln>
                      </wps:spPr>
                      <wps:txbx>
                        <w:txbxContent>
                          <w:p w14:paraId="71E2460A" w14:textId="5F743D6A" w:rsidR="004D143A" w:rsidRPr="004D143A" w:rsidRDefault="004D143A">
                            <w:pPr>
                              <w:rPr>
                                <w:b/>
                                <w:bCs/>
                              </w:rPr>
                            </w:pPr>
                            <w:r w:rsidRPr="004D143A">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8D8516" id="Text Box 23" o:spid="_x0000_s1029" type="#_x0000_t202" style="position:absolute;left:0;text-align:left;margin-left:-16.7pt;margin-top:8.65pt;width:34.5pt;height:23.25pt;z-index:251670016;visibility:visible;mso-wrap-style:square;mso-width-percent:0;mso-wrap-distance-left:9pt;mso-wrap-distance-top:0;mso-wrap-distance-right:9pt;mso-wrap-distance-bottom:0;mso-position-horizontal:right;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" filled="f" stroked="f" strokeweight=".5pt">
                <v:textbox>
                  <w:txbxContent>
                    <w:p w14:paraId="71E2460A" w14:textId="5F743D6A" w:rsidR="004D143A" w:rsidRPr="004D143A" w:rsidRDefault="004D143A">
                      <w:pPr>
                        <w:rPr>
                          <w:b/>
                          <w:bCs/>
                        </w:rPr>
                      </w:pPr>
                      <w:r w:rsidRPr="004D143A">
                        <w:rPr>
                          <w:b/>
                          <w:bCs/>
                        </w:rPr>
                        <w:t>(a)</w:t>
                      </w:r>
                    </w:p>
                  </w:txbxContent>
                </v:textbox>
              </v:shape>
            </w:pict>
          </mc:Fallback>
        </mc:AlternateContent>
      </w:r>
      <w:r>
        <w:rPr>
          <w:kern w:val="16"/>
        </w:rPr>
        <w:t xml:space="preserve">  </w:t>
      </w:r>
      <w:r w:rsidR="00944497">
        <w:rPr>
          <w:kern w:val="16"/>
        </w:rPr>
        <w:t xml:space="preserve">        </w:t>
      </w:r>
      <w:r w:rsidR="00003BFA">
        <w:rPr>
          <w:noProof/>
          <w:kern w:val="16"/>
        </w:rPr>
        <w:drawing>
          <wp:inline distT="0" distB="0" distL="0" distR="0" wp14:anchorId="0BAF4BED" wp14:editId="0AEDB7F8">
            <wp:extent cx="2133600" cy="10569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1581" cy="1080745"/>
                    </a:xfrm>
                    <a:prstGeom prst="rect">
                      <a:avLst/>
                    </a:prstGeom>
                    <a:noFill/>
                  </pic:spPr>
                </pic:pic>
              </a:graphicData>
            </a:graphic>
          </wp:inline>
        </w:drawing>
      </w:r>
    </w:p>
    <w:p w14:paraId="011B829B" w14:textId="4F7220DE" w:rsidR="00003BFA" w:rsidRDefault="00944497" w:rsidP="005D46D7">
      <w:pPr>
        <w:pStyle w:val="BodyTextIndent"/>
        <w:rPr>
          <w:kern w:val="16"/>
        </w:rPr>
      </w:pPr>
      <w:r>
        <w:rPr>
          <w:noProof/>
          <w:kern w:val="16"/>
        </w:rPr>
        <w:drawing>
          <wp:inline distT="0" distB="0" distL="0" distR="0" wp14:anchorId="78891E68" wp14:editId="6C6FB374">
            <wp:extent cx="2760980" cy="148590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1700" cy="1513196"/>
                    </a:xfrm>
                    <a:prstGeom prst="rect">
                      <a:avLst/>
                    </a:prstGeom>
                    <a:noFill/>
                  </pic:spPr>
                </pic:pic>
              </a:graphicData>
            </a:graphic>
          </wp:inline>
        </w:drawing>
      </w:r>
    </w:p>
    <w:p w14:paraId="3909CA72" w14:textId="702BAB52" w:rsidR="00D162A1" w:rsidRPr="009E6644" w:rsidRDefault="00944497" w:rsidP="00944497">
      <w:pPr>
        <w:pStyle w:val="BodyTextIndent"/>
        <w:ind w:firstLine="0"/>
        <w:rPr>
          <w:kern w:val="16"/>
        </w:rPr>
      </w:pPr>
      <w:r w:rsidRPr="00944497">
        <w:rPr>
          <w:kern w:val="16"/>
        </w:rPr>
        <w:t xml:space="preserve">Figure 2. (a) The drawing of the dual-axis cavity with Tesla like cells and the Low-Loss + Tesla cavity cells along the </w:t>
      </w:r>
      <w:r>
        <w:rPr>
          <w:kern w:val="16"/>
        </w:rPr>
        <w:t xml:space="preserve">bottom (Axis </w:t>
      </w:r>
      <w:r w:rsidR="004D143A">
        <w:rPr>
          <w:kern w:val="16"/>
        </w:rPr>
        <w:t>a</w:t>
      </w:r>
      <w:r>
        <w:rPr>
          <w:kern w:val="16"/>
        </w:rPr>
        <w:t>1) and top</w:t>
      </w:r>
      <w:r w:rsidRPr="00944497">
        <w:rPr>
          <w:kern w:val="16"/>
        </w:rPr>
        <w:t xml:space="preserve"> </w:t>
      </w:r>
      <w:r>
        <w:rPr>
          <w:kern w:val="16"/>
        </w:rPr>
        <w:t xml:space="preserve">(Axis </w:t>
      </w:r>
      <w:r w:rsidR="004D143A">
        <w:rPr>
          <w:kern w:val="16"/>
        </w:rPr>
        <w:t>a</w:t>
      </w:r>
      <w:r>
        <w:rPr>
          <w:kern w:val="16"/>
        </w:rPr>
        <w:t xml:space="preserve">2) </w:t>
      </w:r>
      <w:r w:rsidRPr="00944497">
        <w:rPr>
          <w:kern w:val="16"/>
        </w:rPr>
        <w:t>ax</w:t>
      </w:r>
      <w:r>
        <w:rPr>
          <w:kern w:val="16"/>
        </w:rPr>
        <w:t>e</w:t>
      </w:r>
      <w:r w:rsidRPr="00944497">
        <w:rPr>
          <w:kern w:val="16"/>
        </w:rPr>
        <w:t xml:space="preserve">s. (b) </w:t>
      </w:r>
      <w:r>
        <w:rPr>
          <w:kern w:val="16"/>
        </w:rPr>
        <w:t>T</w:t>
      </w:r>
      <w:r w:rsidRPr="00944497">
        <w:rPr>
          <w:kern w:val="16"/>
        </w:rPr>
        <w:t xml:space="preserve">he operating mode structures along the axes showing the operating mode </w:t>
      </w:r>
      <w:r>
        <w:rPr>
          <w:kern w:val="16"/>
        </w:rPr>
        <w:t xml:space="preserve">amplitude </w:t>
      </w:r>
      <w:r w:rsidRPr="00944497">
        <w:rPr>
          <w:kern w:val="16"/>
        </w:rPr>
        <w:t>tun</w:t>
      </w:r>
      <w:r>
        <w:rPr>
          <w:kern w:val="16"/>
        </w:rPr>
        <w:t xml:space="preserve">ability </w:t>
      </w:r>
      <w:r w:rsidRPr="00944497">
        <w:rPr>
          <w:kern w:val="16"/>
        </w:rPr>
        <w:t>by changing the cell’s geometry.</w:t>
      </w:r>
      <w:r w:rsidR="005D46D7">
        <w:rPr>
          <w:kern w:val="16"/>
        </w:rPr>
        <w:t xml:space="preserve">  </w:t>
      </w:r>
      <w:r w:rsidR="000C2DA2">
        <w:rPr>
          <w:kern w:val="16"/>
        </w:rPr>
        <w:t xml:space="preserve">   </w:t>
      </w:r>
      <w:r w:rsidR="005815D7">
        <w:rPr>
          <w:kern w:val="16"/>
        </w:rPr>
        <w:t xml:space="preserve">       </w:t>
      </w:r>
      <w:r w:rsidR="00851BA8">
        <w:rPr>
          <w:kern w:val="16"/>
        </w:rPr>
        <w:t xml:space="preserve"> </w:t>
      </w:r>
    </w:p>
    <w:p w14:paraId="2189F9BD" w14:textId="2D8C83F6" w:rsidR="009F791A" w:rsidRDefault="009F791A" w:rsidP="002C75A7">
      <w:pPr>
        <w:pStyle w:val="JACoWSectionHeading"/>
        <w:rPr>
          <w:lang w:val="en-GB"/>
        </w:rPr>
      </w:pPr>
      <w:bookmarkStart w:id="1" w:name="_Hlk116138169"/>
      <w:r>
        <w:rPr>
          <w:lang w:val="en-GB"/>
        </w:rPr>
        <w:t>Preliminary concept of CLERC</w:t>
      </w:r>
    </w:p>
    <w:bookmarkEnd w:id="1"/>
    <w:p w14:paraId="51ED8A8C" w14:textId="26D046A3" w:rsidR="009F791A" w:rsidRPr="009F791A" w:rsidRDefault="009F791A" w:rsidP="009F791A">
      <w:pPr>
        <w:pStyle w:val="JACoWBodyTextIndent"/>
      </w:pPr>
      <w:r w:rsidRPr="009F791A">
        <w:rPr>
          <w:rStyle w:val="JACoWBodyTextIndentChar"/>
        </w:rPr>
        <w:t xml:space="preserve">To overcome the challenges discussed, we suggest Circular-Linear Energy Recovery </w:t>
      </w:r>
      <w:r>
        <w:rPr>
          <w:rStyle w:val="JACoWBodyTextIndentChar"/>
        </w:rPr>
        <w:t xml:space="preserve">Collider </w:t>
      </w:r>
      <w:r w:rsidRPr="009F791A">
        <w:rPr>
          <w:rStyle w:val="JACoWBodyTextIndentChar"/>
        </w:rPr>
        <w:t>(CLER-</w:t>
      </w:r>
      <w:r>
        <w:rPr>
          <w:rStyle w:val="JACoWBodyTextIndentChar"/>
        </w:rPr>
        <w:t>C</w:t>
      </w:r>
      <w:r w:rsidRPr="009F791A">
        <w:rPr>
          <w:rStyle w:val="JACoWBodyTextIndentChar"/>
        </w:rPr>
        <w:t>)</w:t>
      </w:r>
      <w:r>
        <w:rPr>
          <w:rStyle w:val="JACoWBodyTextIndentChar"/>
        </w:rPr>
        <w:t xml:space="preserve"> to be</w:t>
      </w:r>
      <w:r w:rsidRPr="009F791A">
        <w:rPr>
          <w:rStyle w:val="JACoWBodyTextIndentChar"/>
        </w:rPr>
        <w:t xml:space="preserve"> based on dual-axis, asymmetric accelerating/decelerating (A/D) cavities. The </w:t>
      </w:r>
      <w:r w:rsidR="00622A23" w:rsidRPr="009F791A">
        <w:rPr>
          <w:rStyle w:val="JACoWBodyTextIndentChar"/>
        </w:rPr>
        <w:t>schematic</w:t>
      </w:r>
      <w:r w:rsidRPr="009F791A">
        <w:rPr>
          <w:rStyle w:val="JACoWBodyTextIndentChar"/>
        </w:rPr>
        <w:t xml:space="preserve"> of the novel conceptual design </w:t>
      </w:r>
      <w:r>
        <w:rPr>
          <w:rStyle w:val="JACoWBodyTextIndentChar"/>
        </w:rPr>
        <w:t>is</w:t>
      </w:r>
      <w:r w:rsidRPr="009F791A">
        <w:rPr>
          <w:rStyle w:val="JACoWBodyTextIndentChar"/>
        </w:rPr>
        <w:t xml:space="preserve"> shown in </w:t>
      </w:r>
      <w:r w:rsidR="0096576B">
        <w:rPr>
          <w:rStyle w:val="JACoWBodyTextIndentChar"/>
        </w:rPr>
        <w:t>f</w:t>
      </w:r>
      <w:r w:rsidRPr="009F791A">
        <w:rPr>
          <w:rStyle w:val="JACoWBodyTextIndentChar"/>
        </w:rPr>
        <w:t>igure 1</w:t>
      </w:r>
      <w:r w:rsidR="0096576B">
        <w:rPr>
          <w:rStyle w:val="JACoWBodyTextIndentChar"/>
        </w:rPr>
        <w:t>,</w:t>
      </w:r>
      <w:r w:rsidR="00003BFA">
        <w:rPr>
          <w:rStyle w:val="JACoWBodyTextIndentChar"/>
        </w:rPr>
        <w:t xml:space="preserve"> </w:t>
      </w:r>
      <w:r w:rsidRPr="009F791A">
        <w:rPr>
          <w:rStyle w:val="JACoWBodyTextIndentChar"/>
        </w:rPr>
        <w:t>the arrows indicate the beam travel directions. All stages of the beam acceleration and deceleration (A/D) use the dual axis asymmetric cavities</w:t>
      </w:r>
      <w:r w:rsidR="00003BFA">
        <w:rPr>
          <w:rStyle w:val="JACoWBodyTextIndentChar"/>
        </w:rPr>
        <w:t>.</w:t>
      </w:r>
      <w:r w:rsidRPr="009F791A">
        <w:rPr>
          <w:rStyle w:val="JACoWBodyTextIndentChar"/>
        </w:rPr>
        <w:t xml:space="preserve"> This type of the cavity is suggested due to their EM properties</w:t>
      </w:r>
      <w:r w:rsidR="00944C23">
        <w:rPr>
          <w:rStyle w:val="JACoWBodyTextIndentChar"/>
        </w:rPr>
        <w:t xml:space="preserve"> [12-16], which</w:t>
      </w:r>
      <w:r w:rsidRPr="009F791A">
        <w:rPr>
          <w:rStyle w:val="JACoWBodyTextIndentChar"/>
        </w:rPr>
        <w:t xml:space="preserve"> would potentially allow one to increase the currents</w:t>
      </w:r>
      <w:r w:rsidR="00622A23">
        <w:rPr>
          <w:rStyle w:val="JACoWBodyTextIndentChar"/>
        </w:rPr>
        <w:t>,</w:t>
      </w:r>
      <w:r w:rsidRPr="009F791A">
        <w:rPr>
          <w:rStyle w:val="JACoWBodyTextIndentChar"/>
        </w:rPr>
        <w:t xml:space="preserve"> at which BBU initiates</w:t>
      </w:r>
      <w:r w:rsidR="00622A23">
        <w:rPr>
          <w:rStyle w:val="JACoWBodyTextIndentChar"/>
        </w:rPr>
        <w:t>,</w:t>
      </w:r>
      <w:r w:rsidRPr="009F791A">
        <w:rPr>
          <w:rStyle w:val="JACoWBodyTextIndentChar"/>
        </w:rPr>
        <w:t xml:space="preserve"> allow</w:t>
      </w:r>
      <w:r w:rsidR="00944C23">
        <w:rPr>
          <w:rStyle w:val="JACoWBodyTextIndentChar"/>
        </w:rPr>
        <w:t>ing</w:t>
      </w:r>
      <w:r w:rsidRPr="009F791A">
        <w:rPr>
          <w:rStyle w:val="JACoWBodyTextIndentChar"/>
        </w:rPr>
        <w:t xml:space="preserve"> the total beam power (current) to </w:t>
      </w:r>
      <w:r w:rsidR="00944C23">
        <w:rPr>
          <w:rStyle w:val="JACoWBodyTextIndentChar"/>
        </w:rPr>
        <w:t>be</w:t>
      </w:r>
      <w:r w:rsidRPr="009F791A">
        <w:rPr>
          <w:rStyle w:val="JACoWBodyTextIndentChar"/>
        </w:rPr>
        <w:t xml:space="preserve"> increase</w:t>
      </w:r>
      <w:r w:rsidR="00944C23">
        <w:rPr>
          <w:rStyle w:val="JACoWBodyTextIndentChar"/>
        </w:rPr>
        <w:t>d</w:t>
      </w:r>
      <w:r w:rsidRPr="009F791A">
        <w:rPr>
          <w:rStyle w:val="JACoWBodyTextIndentChar"/>
        </w:rPr>
        <w:t>.</w:t>
      </w:r>
      <w:r w:rsidR="00003BFA" w:rsidRPr="00003BFA">
        <w:rPr>
          <w:rFonts w:eastAsiaTheme="minorEastAsia"/>
        </w:rPr>
        <w:t xml:space="preserve"> </w:t>
      </w:r>
      <w:r w:rsidR="00003BFA">
        <w:rPr>
          <w:rFonts w:eastAsiaTheme="minorEastAsia"/>
        </w:rPr>
        <w:t>In the subsections below, the concepts of each sub-system will be discussed, starting with the dual-axis asymmetric cavity. The set of parameters</w:t>
      </w:r>
      <w:r w:rsidR="00944C23">
        <w:rPr>
          <w:rFonts w:eastAsiaTheme="minorEastAsia"/>
        </w:rPr>
        <w:t xml:space="preserve"> presented in this paper</w:t>
      </w:r>
      <w:r w:rsidR="00003BFA">
        <w:rPr>
          <w:rFonts w:eastAsiaTheme="minorEastAsia"/>
        </w:rPr>
        <w:t xml:space="preserve"> are based on the possibility of merging the properties of circular and linear </w:t>
      </w:r>
      <w:r w:rsidR="00622A23">
        <w:rPr>
          <w:rFonts w:eastAsiaTheme="minorEastAsia"/>
        </w:rPr>
        <w:t>accelerators</w:t>
      </w:r>
      <w:r w:rsidR="00944C23">
        <w:rPr>
          <w:rFonts w:eastAsiaTheme="minorEastAsia"/>
        </w:rPr>
        <w:t>.</w:t>
      </w:r>
      <w:r w:rsidR="00003BFA">
        <w:rPr>
          <w:rFonts w:eastAsiaTheme="minorEastAsia"/>
        </w:rPr>
        <w:t xml:space="preserve"> </w:t>
      </w:r>
      <w:r w:rsidR="00944C23">
        <w:rPr>
          <w:rFonts w:eastAsiaTheme="minorEastAsia"/>
        </w:rPr>
        <w:t>We will discuss the</w:t>
      </w:r>
      <w:r w:rsidR="00003BFA">
        <w:rPr>
          <w:rFonts w:eastAsiaTheme="minorEastAsia"/>
        </w:rPr>
        <w:t xml:space="preserve"> use of </w:t>
      </w:r>
      <w:r w:rsidR="00622A23">
        <w:rPr>
          <w:rFonts w:eastAsiaTheme="minorEastAsia"/>
        </w:rPr>
        <w:t>“</w:t>
      </w:r>
      <w:r w:rsidR="00003BFA">
        <w:rPr>
          <w:rFonts w:eastAsiaTheme="minorEastAsia"/>
        </w:rPr>
        <w:t>non-emitting</w:t>
      </w:r>
      <w:r w:rsidR="00622A23">
        <w:rPr>
          <w:rFonts w:eastAsiaTheme="minorEastAsia"/>
        </w:rPr>
        <w:t>”</w:t>
      </w:r>
      <w:r w:rsidR="00003BFA">
        <w:rPr>
          <w:rFonts w:eastAsiaTheme="minorEastAsia"/>
        </w:rPr>
        <w:t xml:space="preserve"> storage rings as driver</w:t>
      </w:r>
      <w:r w:rsidR="00622A23">
        <w:rPr>
          <w:rFonts w:eastAsiaTheme="minorEastAsia"/>
        </w:rPr>
        <w:t>s</w:t>
      </w:r>
      <w:r w:rsidR="00003BFA">
        <w:rPr>
          <w:rFonts w:eastAsiaTheme="minorEastAsia"/>
        </w:rPr>
        <w:t xml:space="preserve"> for photon factory (FEL stations) and CLER-C</w:t>
      </w:r>
      <w:r w:rsidR="00622A23">
        <w:rPr>
          <w:rFonts w:eastAsiaTheme="minorEastAsia"/>
        </w:rPr>
        <w:t>,</w:t>
      </w:r>
      <w:r w:rsidR="00003BFA">
        <w:rPr>
          <w:rFonts w:eastAsiaTheme="minorEastAsia"/>
        </w:rPr>
        <w:t xml:space="preserve"> broaden</w:t>
      </w:r>
      <w:r w:rsidR="00622A23">
        <w:rPr>
          <w:rFonts w:eastAsiaTheme="minorEastAsia"/>
        </w:rPr>
        <w:t>ing</w:t>
      </w:r>
      <w:r w:rsidR="00003BFA">
        <w:rPr>
          <w:rFonts w:eastAsiaTheme="minorEastAsia"/>
        </w:rPr>
        <w:t xml:space="preserve"> application</w:t>
      </w:r>
      <w:r w:rsidR="00622A23">
        <w:rPr>
          <w:rFonts w:eastAsiaTheme="minorEastAsia"/>
        </w:rPr>
        <w:t>s</w:t>
      </w:r>
      <w:r w:rsidR="00003BFA">
        <w:rPr>
          <w:rFonts w:eastAsiaTheme="minorEastAsia"/>
        </w:rPr>
        <w:t xml:space="preserve"> of the whole system and increas</w:t>
      </w:r>
      <w:r w:rsidR="00622A23">
        <w:rPr>
          <w:rFonts w:eastAsiaTheme="minorEastAsia"/>
        </w:rPr>
        <w:t>ing</w:t>
      </w:r>
      <w:r w:rsidR="00003BFA">
        <w:rPr>
          <w:rFonts w:eastAsiaTheme="minorEastAsia"/>
        </w:rPr>
        <w:t xml:space="preserve"> its efficiency and </w:t>
      </w:r>
      <w:r w:rsidR="00944C23">
        <w:rPr>
          <w:rFonts w:eastAsiaTheme="minorEastAsia"/>
        </w:rPr>
        <w:t xml:space="preserve">societal </w:t>
      </w:r>
      <w:r w:rsidR="00003BFA">
        <w:rPr>
          <w:rFonts w:eastAsiaTheme="minorEastAsia"/>
        </w:rPr>
        <w:t>impact</w:t>
      </w:r>
      <w:r w:rsidR="00944C23">
        <w:rPr>
          <w:rFonts w:eastAsiaTheme="minorEastAsia"/>
        </w:rPr>
        <w:t>.</w:t>
      </w:r>
      <w:r w:rsidR="00003BFA">
        <w:rPr>
          <w:rFonts w:eastAsiaTheme="minorEastAsia"/>
        </w:rPr>
        <w:t xml:space="preserve"> </w:t>
      </w:r>
    </w:p>
    <w:p w14:paraId="47A853BA" w14:textId="453E8A6C" w:rsidR="00D162A1" w:rsidRPr="009F791A" w:rsidRDefault="009F791A" w:rsidP="009F791A">
      <w:pPr>
        <w:pStyle w:val="JACoWSectionHeading"/>
        <w:jc w:val="left"/>
        <w:rPr>
          <w:b w:val="0"/>
          <w:bCs w:val="0"/>
          <w:i/>
          <w:iCs w:val="0"/>
          <w:lang w:val="en-GB"/>
        </w:rPr>
      </w:pPr>
      <w:r w:rsidRPr="009F791A">
        <w:rPr>
          <w:b w:val="0"/>
          <w:bCs w:val="0"/>
          <w:i/>
          <w:iCs w:val="0"/>
          <w:lang w:val="en-GB"/>
        </w:rPr>
        <w:t xml:space="preserve"> </w:t>
      </w:r>
      <w:r w:rsidR="005D46D7" w:rsidRPr="009F791A">
        <w:rPr>
          <w:b w:val="0"/>
          <w:bCs w:val="0"/>
          <w:i/>
          <w:iCs w:val="0"/>
          <w:lang w:val="en-GB"/>
        </w:rPr>
        <w:t xml:space="preserve">Dual axis SRF cavity </w:t>
      </w:r>
    </w:p>
    <w:p w14:paraId="40BC2B85" w14:textId="78816AE3" w:rsidR="00944C23" w:rsidRDefault="005D46D7" w:rsidP="00226507">
      <w:pPr>
        <w:pStyle w:val="BodyTextIndent"/>
        <w:rPr>
          <w:rStyle w:val="JACoWBodyTextIndentChar"/>
        </w:rPr>
      </w:pPr>
      <w:bookmarkStart w:id="2" w:name="_Hlk116131274"/>
      <w:r w:rsidRPr="005D46D7">
        <w:rPr>
          <w:rStyle w:val="JACoWBodyTextIndentChar"/>
        </w:rPr>
        <w:t xml:space="preserve">For </w:t>
      </w:r>
      <w:r w:rsidR="00622A23">
        <w:rPr>
          <w:rStyle w:val="JACoWBodyTextIndentChar"/>
        </w:rPr>
        <w:t xml:space="preserve">the </w:t>
      </w:r>
      <w:r w:rsidRPr="005D46D7">
        <w:rPr>
          <w:rStyle w:val="JACoWBodyTextIndentChar"/>
        </w:rPr>
        <w:t>clarity</w:t>
      </w:r>
      <w:r w:rsidR="00622A23">
        <w:rPr>
          <w:rStyle w:val="JACoWBodyTextIndentChar"/>
        </w:rPr>
        <w:t xml:space="preserve"> only</w:t>
      </w:r>
      <w:r w:rsidRPr="005D46D7">
        <w:rPr>
          <w:rStyle w:val="JACoWBodyTextIndentChar"/>
        </w:rPr>
        <w:t xml:space="preserve">, it is assumed that the cavities operate at 1.3 GHz. Figures </w:t>
      </w:r>
      <w:r w:rsidR="00003BFA">
        <w:rPr>
          <w:rStyle w:val="JACoWBodyTextIndentChar"/>
        </w:rPr>
        <w:t>2</w:t>
      </w:r>
      <w:r>
        <w:rPr>
          <w:rStyle w:val="JACoWBodyTextIndentChar"/>
        </w:rPr>
        <w:t>a</w:t>
      </w:r>
      <w:r w:rsidRPr="005D46D7">
        <w:rPr>
          <w:rStyle w:val="JACoWBodyTextIndentChar"/>
        </w:rPr>
        <w:t xml:space="preserve"> and </w:t>
      </w:r>
      <w:r w:rsidR="00003BFA">
        <w:rPr>
          <w:rStyle w:val="JACoWBodyTextIndentChar"/>
        </w:rPr>
        <w:t>2</w:t>
      </w:r>
      <w:r>
        <w:rPr>
          <w:rStyle w:val="JACoWBodyTextIndentChar"/>
        </w:rPr>
        <w:t xml:space="preserve">b </w:t>
      </w:r>
      <w:r w:rsidRPr="005D46D7">
        <w:rPr>
          <w:rStyle w:val="JACoWBodyTextIndentChar"/>
        </w:rPr>
        <w:t xml:space="preserve"> illustrate </w:t>
      </w:r>
      <w:r>
        <w:rPr>
          <w:rStyle w:val="JACoWBodyTextIndentChar"/>
        </w:rPr>
        <w:t xml:space="preserve">a </w:t>
      </w:r>
      <w:r w:rsidRPr="005D46D7">
        <w:rPr>
          <w:rStyle w:val="JACoWBodyTextIndentChar"/>
        </w:rPr>
        <w:t xml:space="preserve">possible design of </w:t>
      </w:r>
      <w:r>
        <w:rPr>
          <w:rStyle w:val="JACoWBodyTextIndentChar"/>
        </w:rPr>
        <w:t xml:space="preserve">the </w:t>
      </w:r>
      <w:r w:rsidRPr="005D46D7">
        <w:rPr>
          <w:rStyle w:val="JACoWBodyTextIndentChar"/>
        </w:rPr>
        <w:t>standing wave, dual-axis, asymmetric SRF cavit</w:t>
      </w:r>
      <w:r>
        <w:rPr>
          <w:rStyle w:val="JACoWBodyTextIndentChar"/>
        </w:rPr>
        <w:t>y and field distribution inside respectively</w:t>
      </w:r>
      <w:r w:rsidRPr="005D46D7">
        <w:rPr>
          <w:rStyle w:val="JACoWBodyTextIndentChar"/>
        </w:rPr>
        <w:t xml:space="preserve">. </w:t>
      </w:r>
      <w:bookmarkEnd w:id="2"/>
      <w:r w:rsidRPr="005D46D7">
        <w:rPr>
          <w:rStyle w:val="JACoWBodyTextIndentChar"/>
        </w:rPr>
        <w:t>Unlike conventional (single axis) systems, the dual axis cavity allows for the separation of the accelerating and decelerating beam trajectories. This mitigates the BBU instability excitations by breaking the feedback between parasitic HOMs excited in one of the sections and beam dynamics in other section. It has been demonstrated [</w:t>
      </w:r>
      <w:r w:rsidR="00944C23">
        <w:rPr>
          <w:rStyle w:val="JACoWBodyTextIndentChar"/>
        </w:rPr>
        <w:t>14-16</w:t>
      </w:r>
      <w:r w:rsidRPr="005D46D7">
        <w:rPr>
          <w:rStyle w:val="JACoWBodyTextIndentChar"/>
        </w:rPr>
        <w:t xml:space="preserve">] that the HOMs excited in a specific section of the cavity are localised and will not </w:t>
      </w:r>
      <w:r w:rsidRPr="005D46D7">
        <w:rPr>
          <w:rStyle w:val="JACoWBodyTextIndentChar"/>
        </w:rPr>
        <w:t xml:space="preserve">impact the beam dynamics inside the other section. The most complex part of the structure is the bridge cell, </w:t>
      </w:r>
      <w:r w:rsidR="00622A23">
        <w:rPr>
          <w:rStyle w:val="JACoWBodyTextIndentChar"/>
        </w:rPr>
        <w:t>and it</w:t>
      </w:r>
      <w:r w:rsidRPr="005D46D7">
        <w:rPr>
          <w:rStyle w:val="JACoWBodyTextIndentChar"/>
        </w:rPr>
        <w:t xml:space="preserve"> has been recently constructed and tested at </w:t>
      </w:r>
      <w:proofErr w:type="spellStart"/>
      <w:r w:rsidRPr="005D46D7">
        <w:rPr>
          <w:rStyle w:val="JACoWBodyTextIndentChar"/>
        </w:rPr>
        <w:t>JLab</w:t>
      </w:r>
      <w:proofErr w:type="spellEnd"/>
      <w:r w:rsidRPr="005D46D7">
        <w:rPr>
          <w:rStyle w:val="JACoWBodyTextIndentChar"/>
        </w:rPr>
        <w:t xml:space="preserve"> [</w:t>
      </w:r>
      <w:r>
        <w:rPr>
          <w:rStyle w:val="JACoWBodyTextIndentChar"/>
        </w:rPr>
        <w:t>1</w:t>
      </w:r>
      <w:r w:rsidR="00944C23">
        <w:rPr>
          <w:rStyle w:val="JACoWBodyTextIndentChar"/>
        </w:rPr>
        <w:t>7,18</w:t>
      </w:r>
      <w:r w:rsidRPr="005D46D7">
        <w:rPr>
          <w:rStyle w:val="JACoWBodyTextIndentChar"/>
        </w:rPr>
        <w:t xml:space="preserve">]. </w:t>
      </w:r>
      <w:r>
        <w:rPr>
          <w:rStyle w:val="JACoWBodyTextIndentChar"/>
        </w:rPr>
        <w:t xml:space="preserve">Another advantage of such a cavity is capability </w:t>
      </w:r>
      <w:r w:rsidR="009F791A">
        <w:rPr>
          <w:rStyle w:val="JACoWBodyTextIndentChar"/>
        </w:rPr>
        <w:t xml:space="preserve">to control the </w:t>
      </w:r>
      <w:r w:rsidR="00944C23">
        <w:rPr>
          <w:rStyle w:val="JACoWBodyTextIndentChar"/>
        </w:rPr>
        <w:t>A/D</w:t>
      </w:r>
      <w:r w:rsidR="009F791A">
        <w:rPr>
          <w:rStyle w:val="JACoWBodyTextIndentChar"/>
        </w:rPr>
        <w:t xml:space="preserve"> fields’ amplitude independently. </w:t>
      </w:r>
      <w:r w:rsidRPr="005D46D7">
        <w:rPr>
          <w:rStyle w:val="JACoWBodyTextIndentChar"/>
        </w:rPr>
        <w:t xml:space="preserve">The operating field distributions are shown in Figures </w:t>
      </w:r>
      <w:r w:rsidR="00944C23">
        <w:rPr>
          <w:rStyle w:val="JACoWBodyTextIndentChar"/>
        </w:rPr>
        <w:t>2</w:t>
      </w:r>
      <w:r w:rsidR="00003BFA">
        <w:rPr>
          <w:rStyle w:val="JACoWBodyTextIndentChar"/>
        </w:rPr>
        <w:t>b</w:t>
      </w:r>
      <w:r w:rsidRPr="005D46D7">
        <w:rPr>
          <w:rStyle w:val="JACoWBodyTextIndentChar"/>
        </w:rPr>
        <w:t xml:space="preserve"> and </w:t>
      </w:r>
      <w:r w:rsidR="00944C23">
        <w:rPr>
          <w:rStyle w:val="JACoWBodyTextIndentChar"/>
        </w:rPr>
        <w:t>3</w:t>
      </w:r>
      <w:r w:rsidR="00622A23">
        <w:rPr>
          <w:rStyle w:val="JACoWBodyTextIndentChar"/>
        </w:rPr>
        <w:t>b</w:t>
      </w:r>
      <w:r w:rsidRPr="005D46D7">
        <w:rPr>
          <w:rStyle w:val="JACoWBodyTextIndentChar"/>
        </w:rPr>
        <w:t>, illustrating the possibility to vary the field</w:t>
      </w:r>
      <w:r w:rsidR="00622A23">
        <w:rPr>
          <w:rStyle w:val="JACoWBodyTextIndentChar"/>
        </w:rPr>
        <w:t>s’</w:t>
      </w:r>
      <w:r w:rsidRPr="005D46D7">
        <w:rPr>
          <w:rStyle w:val="JACoWBodyTextIndentChar"/>
        </w:rPr>
        <w:t xml:space="preserve"> amplitudes in such structure</w:t>
      </w:r>
      <w:r w:rsidR="00622A23">
        <w:rPr>
          <w:rStyle w:val="JACoWBodyTextIndentChar"/>
        </w:rPr>
        <w:t>s</w:t>
      </w:r>
      <w:r w:rsidRPr="005D46D7">
        <w:rPr>
          <w:rStyle w:val="JACoWBodyTextIndentChar"/>
        </w:rPr>
        <w:t xml:space="preserve"> by changing the cells geometries and </w:t>
      </w:r>
      <w:proofErr w:type="gramStart"/>
      <w:r w:rsidR="00622A23">
        <w:rPr>
          <w:rStyle w:val="JACoWBodyTextIndentChar"/>
        </w:rPr>
        <w:t>a</w:t>
      </w:r>
      <w:r w:rsidRPr="005D46D7">
        <w:rPr>
          <w:rStyle w:val="JACoWBodyTextIndentChar"/>
        </w:rPr>
        <w:t xml:space="preserve"> number of</w:t>
      </w:r>
      <w:proofErr w:type="gramEnd"/>
      <w:r w:rsidRPr="005D46D7">
        <w:rPr>
          <w:rStyle w:val="JACoWBodyTextIndentChar"/>
        </w:rPr>
        <w:t xml:space="preserve"> the cells. </w:t>
      </w:r>
      <w:r w:rsidR="00944C23">
        <w:rPr>
          <w:rStyle w:val="JACoWBodyTextIndentChar"/>
        </w:rPr>
        <w:t>The i</w:t>
      </w:r>
      <w:r w:rsidRPr="005D46D7">
        <w:rPr>
          <w:rStyle w:val="JACoWBodyTextIndentChar"/>
        </w:rPr>
        <w:t>ndependent field control allows the spent beams to be used in the ERL</w:t>
      </w:r>
      <w:r w:rsidR="009F791A">
        <w:rPr>
          <w:rStyle w:val="JACoWBodyTextIndentChar"/>
        </w:rPr>
        <w:t xml:space="preserve"> via </w:t>
      </w:r>
      <w:r w:rsidRPr="005D46D7">
        <w:rPr>
          <w:rStyle w:val="JACoWBodyTextIndentChar"/>
        </w:rPr>
        <w:t>increas</w:t>
      </w:r>
      <w:r w:rsidR="009F791A">
        <w:rPr>
          <w:rStyle w:val="JACoWBodyTextIndentChar"/>
        </w:rPr>
        <w:t>ing</w:t>
      </w:r>
      <w:r w:rsidRPr="005D46D7">
        <w:rPr>
          <w:rStyle w:val="JACoWBodyTextIndentChar"/>
        </w:rPr>
        <w:t xml:space="preserve"> the </w:t>
      </w:r>
      <w:r w:rsidR="00622A23" w:rsidRPr="005D46D7">
        <w:rPr>
          <w:rStyle w:val="JACoWBodyTextIndentChar"/>
        </w:rPr>
        <w:t>decelerating buckets</w:t>
      </w:r>
      <w:r w:rsidR="00622A23">
        <w:rPr>
          <w:rStyle w:val="JACoWBodyTextIndentChar"/>
        </w:rPr>
        <w:t xml:space="preserve"> </w:t>
      </w:r>
      <w:r w:rsidRPr="005D46D7">
        <w:rPr>
          <w:rStyle w:val="JACoWBodyTextIndentChar"/>
        </w:rPr>
        <w:t xml:space="preserve">acceptance </w:t>
      </w:r>
      <w:r w:rsidR="00944C23">
        <w:rPr>
          <w:rStyle w:val="JACoWBodyTextIndentChar"/>
        </w:rPr>
        <w:t>(</w:t>
      </w:r>
      <w:r w:rsidR="009F791A">
        <w:rPr>
          <w:rStyle w:val="JACoWBodyTextIndentChar"/>
        </w:rPr>
        <w:t>field amplitude is increased</w:t>
      </w:r>
      <w:r w:rsidR="00944C23">
        <w:rPr>
          <w:rStyle w:val="JACoWBodyTextIndentChar"/>
        </w:rPr>
        <w:t xml:space="preserve"> fig.3b)</w:t>
      </w:r>
      <w:r w:rsidRPr="005D46D7">
        <w:rPr>
          <w:rStyle w:val="JACoWBodyTextIndentChar"/>
        </w:rPr>
        <w:t xml:space="preserve"> </w:t>
      </w:r>
      <w:r w:rsidR="009F791A">
        <w:rPr>
          <w:rStyle w:val="JACoWBodyTextIndentChar"/>
        </w:rPr>
        <w:t>allow</w:t>
      </w:r>
      <w:r w:rsidR="00944C23">
        <w:rPr>
          <w:rStyle w:val="JACoWBodyTextIndentChar"/>
        </w:rPr>
        <w:t>ing to</w:t>
      </w:r>
      <w:r w:rsidR="009F791A">
        <w:rPr>
          <w:rStyle w:val="JACoWBodyTextIndentChar"/>
        </w:rPr>
        <w:t xml:space="preserve"> compensate for energy spread</w:t>
      </w:r>
      <w:r w:rsidR="00944C23">
        <w:rPr>
          <w:rStyle w:val="JACoWBodyTextIndentChar"/>
        </w:rPr>
        <w:t xml:space="preserve">, </w:t>
      </w:r>
      <w:r w:rsidRPr="005D46D7">
        <w:rPr>
          <w:rStyle w:val="JACoWBodyTextIndentChar"/>
        </w:rPr>
        <w:t xml:space="preserve">some </w:t>
      </w:r>
      <w:proofErr w:type="gramStart"/>
      <w:r w:rsidRPr="005D46D7">
        <w:rPr>
          <w:rStyle w:val="JACoWBodyTextIndentChar"/>
        </w:rPr>
        <w:t>electron</w:t>
      </w:r>
      <w:proofErr w:type="gramEnd"/>
      <w:r w:rsidRPr="005D46D7">
        <w:rPr>
          <w:rStyle w:val="JACoWBodyTextIndentChar"/>
        </w:rPr>
        <w:t xml:space="preserve"> beam current loss </w:t>
      </w:r>
      <w:r w:rsidR="00622A23">
        <w:rPr>
          <w:rStyle w:val="JACoWBodyTextIndentChar"/>
        </w:rPr>
        <w:t>and the</w:t>
      </w:r>
      <w:r w:rsidRPr="005D46D7">
        <w:rPr>
          <w:rStyle w:val="JACoWBodyTextIndentChar"/>
        </w:rPr>
        <w:t xml:space="preserve"> beam dephasing (from optimal decelerating phase).</w:t>
      </w:r>
    </w:p>
    <w:p w14:paraId="2EED774F" w14:textId="56585429" w:rsidR="00226507" w:rsidRDefault="00370553" w:rsidP="00226507">
      <w:pPr>
        <w:pStyle w:val="BodyTextIndent"/>
        <w:rPr>
          <w:rStyle w:val="JACoWBodyTextIndentChar"/>
        </w:rPr>
      </w:pPr>
      <w:r>
        <w:rPr>
          <w:noProof/>
          <w:kern w:val="16"/>
        </w:rPr>
        <mc:AlternateContent>
          <mc:Choice Requires="wps">
            <w:drawing>
              <wp:anchor distT="0" distB="0" distL="114300" distR="114300" simplePos="0" relativeHeight="251682304" behindDoc="0" locked="0" layoutInCell="1" allowOverlap="1" wp14:anchorId="395BB448" wp14:editId="60CDCF0D">
                <wp:simplePos x="0" y="0"/>
                <wp:positionH relativeFrom="column">
                  <wp:posOffset>2738755</wp:posOffset>
                </wp:positionH>
                <wp:positionV relativeFrom="paragraph">
                  <wp:posOffset>824230</wp:posOffset>
                </wp:positionV>
                <wp:extent cx="371475" cy="29527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71475" cy="295275"/>
                        </a:xfrm>
                        <a:prstGeom prst="rect">
                          <a:avLst/>
                        </a:prstGeom>
                        <a:noFill/>
                        <a:ln w="6350">
                          <a:noFill/>
                        </a:ln>
                      </wps:spPr>
                      <wps:txbx>
                        <w:txbxContent>
                          <w:p w14:paraId="061E5E7B" w14:textId="77777777" w:rsidR="00C36C20" w:rsidRPr="004D143A" w:rsidRDefault="00C36C20" w:rsidP="00C36C20">
                            <w:pPr>
                              <w:rPr>
                                <w:b/>
                                <w:bCs/>
                              </w:rPr>
                            </w:pPr>
                            <w:r w:rsidRPr="004D143A">
                              <w:rPr>
                                <w:b/>
                                <w:bCs/>
                              </w:rPr>
                              <w:t>(</w:t>
                            </w:r>
                            <w:r>
                              <w:rPr>
                                <w:b/>
                                <w:bCs/>
                              </w:rPr>
                              <w:t>b</w:t>
                            </w:r>
                            <w:r w:rsidRPr="004D143A">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95BB448" id="_x0000_t202" coordsize="21600,21600" o:spt="202" path="m,l,21600r21600,l21600,xe">
                <v:stroke joinstyle="miter"/>
                <v:path gradientshapeok="t" o:connecttype="rect"/>
              </v:shapetype>
              <v:shape id="Text Box 30" o:spid="_x0000_s1030" type="#_x0000_t202" style="position:absolute;left:0;text-align:left;margin-left:215.65pt;margin-top:64.9pt;width:29.25pt;height:23.25pt;z-index:25168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" filled="f" stroked="f" strokeweight=".5pt">
                <v:textbox>
                  <w:txbxContent>
                    <w:p w14:paraId="061E5E7B" w14:textId="77777777" w:rsidR="00C36C20" w:rsidRPr="004D143A" w:rsidRDefault="00C36C20" w:rsidP="00C36C20">
                      <w:pPr>
                        <w:rPr>
                          <w:b/>
                          <w:bCs/>
                        </w:rPr>
                      </w:pPr>
                      <w:r w:rsidRPr="004D143A">
                        <w:rPr>
                          <w:b/>
                          <w:bCs/>
                        </w:rPr>
                        <w:t>(</w:t>
                      </w:r>
                      <w:r>
                        <w:rPr>
                          <w:b/>
                          <w:bCs/>
                        </w:rPr>
                        <w:t>b</w:t>
                      </w:r>
                      <w:r w:rsidRPr="004D143A">
                        <w:rPr>
                          <w:b/>
                          <w:bCs/>
                        </w:rPr>
                        <w:t>)</w:t>
                      </w:r>
                    </w:p>
                  </w:txbxContent>
                </v:textbox>
              </v:shape>
            </w:pict>
          </mc:Fallback>
        </mc:AlternateContent>
      </w:r>
      <w:r>
        <w:rPr>
          <w:noProof/>
          <w:kern w:val="16"/>
        </w:rPr>
        <mc:AlternateContent>
          <mc:Choice Requires="wps">
            <w:drawing>
              <wp:anchor distT="0" distB="0" distL="114300" distR="114300" simplePos="0" relativeHeight="251684352" behindDoc="0" locked="0" layoutInCell="1" allowOverlap="1" wp14:anchorId="6FC5D7F1" wp14:editId="7CD2578C">
                <wp:simplePos x="0" y="0"/>
                <wp:positionH relativeFrom="column">
                  <wp:posOffset>2695575</wp:posOffset>
                </wp:positionH>
                <wp:positionV relativeFrom="paragraph">
                  <wp:posOffset>60325</wp:posOffset>
                </wp:positionV>
                <wp:extent cx="371475" cy="2952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71475" cy="295275"/>
                        </a:xfrm>
                        <a:prstGeom prst="rect">
                          <a:avLst/>
                        </a:prstGeom>
                        <a:noFill/>
                        <a:ln w="6350">
                          <a:noFill/>
                        </a:ln>
                      </wps:spPr>
                      <wps:txbx>
                        <w:txbxContent>
                          <w:p w14:paraId="0F6E0194" w14:textId="4929659F" w:rsidR="00C36C20" w:rsidRPr="004D143A" w:rsidRDefault="00C36C20" w:rsidP="00C36C20">
                            <w:pPr>
                              <w:rPr>
                                <w:b/>
                                <w:bCs/>
                              </w:rPr>
                            </w:pPr>
                            <w:r w:rsidRPr="004D143A">
                              <w:rPr>
                                <w:b/>
                                <w:bCs/>
                              </w:rPr>
                              <w:t>(</w:t>
                            </w:r>
                            <w:r>
                              <w:rPr>
                                <w:b/>
                                <w:bCs/>
                              </w:rPr>
                              <w:t>a</w:t>
                            </w:r>
                            <w:r w:rsidRPr="004D143A">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C5D7F1" id="Text Box 31" o:spid="_x0000_s1031" type="#_x0000_t202" style="position:absolute;left:0;text-align:left;margin-left:212.25pt;margin-top:4.75pt;width:29.25pt;height:23.25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" filled="f" stroked="f" strokeweight=".5pt">
                <v:textbox>
                  <w:txbxContent>
                    <w:p w14:paraId="0F6E0194" w14:textId="4929659F" w:rsidR="00C36C20" w:rsidRPr="004D143A" w:rsidRDefault="00C36C20" w:rsidP="00C36C20">
                      <w:pPr>
                        <w:rPr>
                          <w:b/>
                          <w:bCs/>
                        </w:rPr>
                      </w:pPr>
                      <w:r w:rsidRPr="004D143A">
                        <w:rPr>
                          <w:b/>
                          <w:bCs/>
                        </w:rPr>
                        <w:t>(</w:t>
                      </w:r>
                      <w:r>
                        <w:rPr>
                          <w:b/>
                          <w:bCs/>
                        </w:rPr>
                        <w:t>a</w:t>
                      </w:r>
                      <w:r w:rsidRPr="004D143A">
                        <w:rPr>
                          <w:b/>
                          <w:bCs/>
                        </w:rPr>
                        <w:t>)</w:t>
                      </w:r>
                    </w:p>
                  </w:txbxContent>
                </v:textbox>
              </v:shape>
            </w:pict>
          </mc:Fallback>
        </mc:AlternateContent>
      </w:r>
      <w:r w:rsidR="005D46D7" w:rsidRPr="005D46D7">
        <w:rPr>
          <w:rStyle w:val="JACoWBodyTextIndentChar"/>
        </w:rPr>
        <w:t xml:space="preserve"> </w:t>
      </w:r>
      <w:r w:rsidR="00226507" w:rsidRPr="00226507">
        <w:rPr>
          <w:rStyle w:val="JACoWBodyTextIndentChar"/>
          <w:noProof/>
        </w:rPr>
        <w:drawing>
          <wp:inline distT="0" distB="0" distL="0" distR="0" wp14:anchorId="14E735B8" wp14:editId="7D396576">
            <wp:extent cx="3095625" cy="204724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9886" cy="2050058"/>
                    </a:xfrm>
                    <a:prstGeom prst="rect">
                      <a:avLst/>
                    </a:prstGeom>
                    <a:noFill/>
                    <a:ln>
                      <a:noFill/>
                    </a:ln>
                  </pic:spPr>
                </pic:pic>
              </a:graphicData>
            </a:graphic>
          </wp:inline>
        </w:drawing>
      </w:r>
    </w:p>
    <w:p w14:paraId="458479B4" w14:textId="3F9BA6BD" w:rsidR="004D143A" w:rsidRPr="005D46D7" w:rsidRDefault="004D143A" w:rsidP="004D143A">
      <w:pPr>
        <w:pStyle w:val="BodyTextIndent"/>
        <w:ind w:firstLine="0"/>
        <w:rPr>
          <w:rStyle w:val="JACoWBodyTextIndentChar"/>
        </w:rPr>
      </w:pPr>
      <w:r w:rsidRPr="004D143A">
        <w:rPr>
          <w:rStyle w:val="JACoWBodyTextIndentChar"/>
        </w:rPr>
        <w:t xml:space="preserve">Figure 3. Illustration of flexibility of the </w:t>
      </w:r>
      <w:r>
        <w:rPr>
          <w:rStyle w:val="JACoWBodyTextIndentChar"/>
        </w:rPr>
        <w:t>asymmetric</w:t>
      </w:r>
      <w:r w:rsidRPr="004D143A">
        <w:rPr>
          <w:rStyle w:val="JACoWBodyTextIndentChar"/>
        </w:rPr>
        <w:t xml:space="preserve"> SRF structure architecture show</w:t>
      </w:r>
      <w:r w:rsidR="00C36C20">
        <w:rPr>
          <w:rStyle w:val="JACoWBodyTextIndentChar"/>
        </w:rPr>
        <w:t>ing</w:t>
      </w:r>
      <w:r w:rsidRPr="004D143A">
        <w:rPr>
          <w:rStyle w:val="JACoWBodyTextIndentChar"/>
        </w:rPr>
        <w:t xml:space="preserve"> </w:t>
      </w:r>
      <w:r w:rsidR="00C36C20">
        <w:rPr>
          <w:rStyle w:val="JACoWBodyTextIndentChar"/>
        </w:rPr>
        <w:t xml:space="preserve">the </w:t>
      </w:r>
      <w:r w:rsidR="00C36C20" w:rsidRPr="004D143A">
        <w:rPr>
          <w:rStyle w:val="JACoWBodyTextIndentChar"/>
        </w:rPr>
        <w:t xml:space="preserve">operating eigenmode </w:t>
      </w:r>
      <w:r w:rsidR="00C36C20">
        <w:rPr>
          <w:rStyle w:val="JACoWBodyTextIndentChar"/>
        </w:rPr>
        <w:t>accelerating field amplitude</w:t>
      </w:r>
      <w:r w:rsidR="00C36C20" w:rsidRPr="004D143A">
        <w:rPr>
          <w:rStyle w:val="JACoWBodyTextIndentChar"/>
        </w:rPr>
        <w:t xml:space="preserve"> (a)</w:t>
      </w:r>
      <w:r w:rsidR="00106278">
        <w:rPr>
          <w:rStyle w:val="JACoWBodyTextIndentChar"/>
        </w:rPr>
        <w:t xml:space="preserve"> contour plot</w:t>
      </w:r>
      <w:r w:rsidR="00C36C20">
        <w:rPr>
          <w:rStyle w:val="JACoWBodyTextIndentChar"/>
        </w:rPr>
        <w:t>,</w:t>
      </w:r>
      <w:r w:rsidR="00106278">
        <w:rPr>
          <w:rStyle w:val="JACoWBodyTextIndentChar"/>
        </w:rPr>
        <w:t xml:space="preserve"> </w:t>
      </w:r>
      <w:r w:rsidR="00C36C20">
        <w:rPr>
          <w:rStyle w:val="JACoWBodyTextIndentChar"/>
        </w:rPr>
        <w:t>(b) dependence along the axes.</w:t>
      </w:r>
    </w:p>
    <w:p w14:paraId="788BFC4C" w14:textId="1CD28BE7" w:rsidR="00D162A1" w:rsidRPr="009E6644" w:rsidRDefault="00226507" w:rsidP="0089090A">
      <w:pPr>
        <w:pStyle w:val="JACoWSubsectionHeading"/>
      </w:pPr>
      <w:bookmarkStart w:id="3" w:name="_Hlk116133843"/>
      <w:r>
        <w:t>RECIRCULATING ENERGY RECOVER SYSTEM (RERS)</w:t>
      </w:r>
    </w:p>
    <w:bookmarkEnd w:id="3"/>
    <w:p w14:paraId="6DF3728E" w14:textId="5E0BF194" w:rsidR="00603D2F" w:rsidRDefault="00226507" w:rsidP="00226507">
      <w:pPr>
        <w:spacing w:after="100"/>
        <w:jc w:val="both"/>
        <w:rPr>
          <w:rFonts w:eastAsiaTheme="minorEastAsia"/>
        </w:rPr>
      </w:pPr>
      <w:r>
        <w:rPr>
          <w:rFonts w:eastAsiaTheme="minorEastAsia"/>
        </w:rPr>
        <w:t xml:space="preserve">  There are </w:t>
      </w:r>
      <w:r w:rsidR="00622A23">
        <w:rPr>
          <w:rFonts w:eastAsiaTheme="minorEastAsia"/>
        </w:rPr>
        <w:t>several</w:t>
      </w:r>
      <w:r>
        <w:rPr>
          <w:rFonts w:eastAsiaTheme="minorEastAsia"/>
        </w:rPr>
        <w:t xml:space="preserve"> advantages of </w:t>
      </w:r>
      <w:r w:rsidRPr="003726A0">
        <w:rPr>
          <w:rFonts w:eastAsiaTheme="minorEastAsia"/>
        </w:rPr>
        <w:t xml:space="preserve">use of Recirculating Energy Recovery Systems </w:t>
      </w:r>
      <w:r>
        <w:rPr>
          <w:rFonts w:eastAsiaTheme="minorEastAsia"/>
        </w:rPr>
        <w:t xml:space="preserve">(RERS) </w:t>
      </w:r>
      <w:r w:rsidRPr="003726A0">
        <w:rPr>
          <w:rFonts w:eastAsiaTheme="minorEastAsia"/>
        </w:rPr>
        <w:t xml:space="preserve">as compared with </w:t>
      </w:r>
      <w:r>
        <w:rPr>
          <w:rFonts w:eastAsiaTheme="minorEastAsia"/>
        </w:rPr>
        <w:t xml:space="preserve">a </w:t>
      </w:r>
      <w:r w:rsidRPr="003726A0">
        <w:rPr>
          <w:rFonts w:eastAsiaTheme="minorEastAsia"/>
        </w:rPr>
        <w:t>conventional ERL</w:t>
      </w:r>
      <w:r>
        <w:rPr>
          <w:rFonts w:eastAsiaTheme="minorEastAsia"/>
        </w:rPr>
        <w:t xml:space="preserve"> including the reduced number of the cryomodules (energy savings) and reduced footprint.</w:t>
      </w:r>
      <w:r w:rsidRPr="003726A0">
        <w:rPr>
          <w:rFonts w:eastAsiaTheme="minorEastAsia"/>
        </w:rPr>
        <w:t xml:space="preserve"> </w:t>
      </w:r>
      <w:r>
        <w:rPr>
          <w:rFonts w:eastAsiaTheme="minorEastAsia"/>
        </w:rPr>
        <w:t xml:space="preserve">In </w:t>
      </w:r>
      <w:r w:rsidR="007303C3" w:rsidRPr="007303C3">
        <w:rPr>
          <w:rFonts w:eastAsiaTheme="minorEastAsia"/>
        </w:rPr>
        <w:t xml:space="preserve">figure 4, the schematic of the </w:t>
      </w:r>
      <w:r w:rsidR="0023331E">
        <w:rPr>
          <w:rFonts w:eastAsiaTheme="minorEastAsia"/>
        </w:rPr>
        <w:t xml:space="preserve">RERS including: </w:t>
      </w:r>
      <w:r w:rsidR="007303C3" w:rsidRPr="007303C3">
        <w:rPr>
          <w:rFonts w:eastAsiaTheme="minorEastAsia"/>
        </w:rPr>
        <w:t>electron beam generation (40MeV), energy boost (from 40Mev to 1 GeV) and injection into the recirculating system is shown. The systems</w:t>
      </w:r>
      <w:r w:rsidR="0023331E">
        <w:rPr>
          <w:rFonts w:eastAsiaTheme="minorEastAsia"/>
        </w:rPr>
        <w:t xml:space="preserve">, </w:t>
      </w:r>
      <w:proofErr w:type="gramStart"/>
      <w:r w:rsidR="007303C3" w:rsidRPr="007303C3">
        <w:rPr>
          <w:rFonts w:eastAsiaTheme="minorEastAsia"/>
        </w:rPr>
        <w:t>similar to</w:t>
      </w:r>
      <w:proofErr w:type="gramEnd"/>
      <w:r w:rsidR="007303C3" w:rsidRPr="007303C3">
        <w:rPr>
          <w:rFonts w:eastAsiaTheme="minorEastAsia"/>
        </w:rPr>
        <w:t xml:space="preserve"> </w:t>
      </w:r>
      <w:r w:rsidR="0023331E">
        <w:rPr>
          <w:rFonts w:eastAsiaTheme="minorEastAsia"/>
        </w:rPr>
        <w:t xml:space="preserve">the </w:t>
      </w:r>
      <w:r w:rsidR="007303C3" w:rsidRPr="007303C3">
        <w:rPr>
          <w:rFonts w:eastAsiaTheme="minorEastAsia"/>
        </w:rPr>
        <w:t>RERS</w:t>
      </w:r>
      <w:r w:rsidR="0023331E">
        <w:rPr>
          <w:rFonts w:eastAsiaTheme="minorEastAsia"/>
        </w:rPr>
        <w:t xml:space="preserve">, </w:t>
      </w:r>
      <w:r w:rsidR="00622A23">
        <w:rPr>
          <w:rFonts w:eastAsiaTheme="minorEastAsia"/>
        </w:rPr>
        <w:t xml:space="preserve">are </w:t>
      </w:r>
      <w:r w:rsidR="0023331E" w:rsidRPr="007303C3">
        <w:rPr>
          <w:rFonts w:eastAsiaTheme="minorEastAsia"/>
        </w:rPr>
        <w:t xml:space="preserve">PERL and CBETA </w:t>
      </w:r>
      <w:r w:rsidR="007303C3" w:rsidRPr="007303C3">
        <w:rPr>
          <w:rFonts w:eastAsiaTheme="minorEastAsia"/>
        </w:rPr>
        <w:t xml:space="preserve">have recently been proposed and  operation </w:t>
      </w:r>
      <w:r w:rsidR="0023331E">
        <w:rPr>
          <w:rFonts w:eastAsiaTheme="minorEastAsia"/>
        </w:rPr>
        <w:t xml:space="preserve">of CBETA </w:t>
      </w:r>
      <w:r w:rsidR="007303C3" w:rsidRPr="007303C3">
        <w:rPr>
          <w:rFonts w:eastAsiaTheme="minorEastAsia"/>
        </w:rPr>
        <w:t>has been demonstrated</w:t>
      </w:r>
      <w:r w:rsidR="0023331E">
        <w:rPr>
          <w:rFonts w:eastAsiaTheme="minorEastAsia"/>
        </w:rPr>
        <w:t xml:space="preserve"> </w:t>
      </w:r>
      <w:r w:rsidR="0023331E" w:rsidRPr="007303C3">
        <w:rPr>
          <w:rFonts w:eastAsiaTheme="minorEastAsia"/>
        </w:rPr>
        <w:t>[</w:t>
      </w:r>
      <w:r w:rsidR="0023331E">
        <w:rPr>
          <w:rFonts w:eastAsiaTheme="minorEastAsia"/>
        </w:rPr>
        <w:t>19-21</w:t>
      </w:r>
      <w:r w:rsidR="0023331E" w:rsidRPr="007303C3">
        <w:rPr>
          <w:rFonts w:eastAsiaTheme="minorEastAsia"/>
        </w:rPr>
        <w:t>]</w:t>
      </w:r>
      <w:r w:rsidR="007303C3" w:rsidRPr="007303C3">
        <w:rPr>
          <w:rFonts w:eastAsiaTheme="minorEastAsia"/>
        </w:rPr>
        <w:t>.</w:t>
      </w:r>
      <w:r w:rsidR="007303C3" w:rsidRPr="007303C3">
        <w:t xml:space="preserve"> </w:t>
      </w:r>
      <w:r w:rsidR="007303C3" w:rsidRPr="007303C3">
        <w:rPr>
          <w:rFonts w:eastAsiaTheme="minorEastAsia"/>
        </w:rPr>
        <w:t>In RERS the beams would undergo four stages of acceleration in four full loops. A single loop has a three 1.3 GHz, 80 MeV SRF energy recovery capable modules, allowing the beam to gain/recover 240 MeV (Fig</w:t>
      </w:r>
      <w:r w:rsidR="0023331E">
        <w:rPr>
          <w:rFonts w:eastAsiaTheme="minorEastAsia"/>
        </w:rPr>
        <w:t>.</w:t>
      </w:r>
      <w:r w:rsidR="007303C3" w:rsidRPr="007303C3">
        <w:rPr>
          <w:rFonts w:eastAsiaTheme="minorEastAsia"/>
        </w:rPr>
        <w:t xml:space="preserve"> 4), resulting in the 1 GeV/40 MeV beam</w:t>
      </w:r>
      <w:r w:rsidR="0023331E">
        <w:rPr>
          <w:rFonts w:eastAsiaTheme="minorEastAsia"/>
        </w:rPr>
        <w:t>s</w:t>
      </w:r>
      <w:r w:rsidR="007303C3" w:rsidRPr="007303C3">
        <w:rPr>
          <w:rFonts w:eastAsiaTheme="minorEastAsia"/>
        </w:rPr>
        <w:t xml:space="preserve"> respectively after </w:t>
      </w:r>
      <w:r w:rsidR="0023331E">
        <w:rPr>
          <w:rFonts w:eastAsiaTheme="minorEastAsia"/>
        </w:rPr>
        <w:t xml:space="preserve">the </w:t>
      </w:r>
      <w:r w:rsidR="007303C3" w:rsidRPr="007303C3">
        <w:rPr>
          <w:rFonts w:eastAsiaTheme="minorEastAsia"/>
        </w:rPr>
        <w:t>four loops. The linear non-scaling fixed field alternating gradient optics [</w:t>
      </w:r>
      <w:r w:rsidR="0023331E">
        <w:rPr>
          <w:rFonts w:eastAsiaTheme="minorEastAsia"/>
        </w:rPr>
        <w:t>19,21</w:t>
      </w:r>
      <w:r w:rsidR="007303C3" w:rsidRPr="007303C3">
        <w:rPr>
          <w:rFonts w:eastAsiaTheme="minorEastAsia"/>
        </w:rPr>
        <w:t>] can be used to transport the beams with the dual energies (in our case the energy factor below 2) along the one set of arcs while along the second set of arcs, the mono</w:t>
      </w:r>
      <w:r w:rsidR="007303C3" w:rsidRPr="007303C3">
        <w:t xml:space="preserve"> </w:t>
      </w:r>
      <w:r w:rsidR="007303C3" w:rsidRPr="007303C3">
        <w:rPr>
          <w:rFonts w:eastAsiaTheme="minorEastAsia"/>
        </w:rPr>
        <w:t>energetic beams will</w:t>
      </w:r>
      <w:r w:rsidR="007303C3">
        <w:rPr>
          <w:rFonts w:eastAsiaTheme="minorEastAsia"/>
        </w:rPr>
        <w:t xml:space="preserve"> be</w:t>
      </w:r>
      <w:r w:rsidR="00944C23" w:rsidRPr="00944C23">
        <w:t xml:space="preserve"> </w:t>
      </w:r>
      <w:r w:rsidR="00944C23" w:rsidRPr="00944C23">
        <w:rPr>
          <w:rFonts w:eastAsiaTheme="minorEastAsia"/>
        </w:rPr>
        <w:t xml:space="preserve">transported. The spent beams are returned from RERS to the 40 MeV dual axis ERL to be decelerated and driven to the collector with energies below 1 </w:t>
      </w:r>
      <w:r w:rsidR="0023331E">
        <w:rPr>
          <w:rFonts w:eastAsiaTheme="minorEastAsia"/>
        </w:rPr>
        <w:t>MeV.</w:t>
      </w:r>
    </w:p>
    <w:p w14:paraId="6F86291C" w14:textId="0E942EC8" w:rsidR="00226507" w:rsidRDefault="0023331E" w:rsidP="00226507">
      <w:pPr>
        <w:spacing w:after="100"/>
        <w:jc w:val="both"/>
        <w:rPr>
          <w:rFonts w:eastAsiaTheme="minorEastAsia"/>
        </w:rPr>
      </w:pPr>
      <w:r w:rsidRPr="0023331E">
        <w:rPr>
          <w:rFonts w:eastAsiaTheme="minorEastAsia"/>
        </w:rPr>
        <w:lastRenderedPageBreak/>
        <w:t>The bunch parameters are expected to be within the following limits:</w:t>
      </w:r>
      <w:r w:rsidR="004105CD">
        <w:rPr>
          <w:rFonts w:eastAsiaTheme="minorEastAsia"/>
          <w:noProof/>
        </w:rPr>
        <mc:AlternateContent>
          <mc:Choice Requires="wps">
            <w:drawing>
              <wp:anchor distT="0" distB="0" distL="114300" distR="114300" simplePos="0" relativeHeight="251680256" behindDoc="0" locked="0" layoutInCell="1" allowOverlap="1" wp14:anchorId="02094003" wp14:editId="2128BB1E">
                <wp:simplePos x="0" y="0"/>
                <wp:positionH relativeFrom="margin">
                  <wp:posOffset>0</wp:posOffset>
                </wp:positionH>
                <wp:positionV relativeFrom="paragraph">
                  <wp:posOffset>1989455</wp:posOffset>
                </wp:positionV>
                <wp:extent cx="6124575" cy="25717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6124575" cy="257175"/>
                        </a:xfrm>
                        <a:prstGeom prst="rect">
                          <a:avLst/>
                        </a:prstGeom>
                        <a:noFill/>
                        <a:ln w="6350">
                          <a:noFill/>
                        </a:ln>
                      </wps:spPr>
                      <wps:txbx>
                        <w:txbxContent>
                          <w:p w14:paraId="71BEE741" w14:textId="39FBEC4A" w:rsidR="00C36C20" w:rsidRPr="00C36C20" w:rsidRDefault="00C36C20">
                            <w:pPr>
                              <w:rPr>
                                <w:rFonts w:ascii="Times New Roman" w:hAnsi="Times New Roman"/>
                              </w:rPr>
                            </w:pPr>
                            <w:r w:rsidRPr="00C36C20">
                              <w:rPr>
                                <w:rFonts w:ascii="Times New Roman" w:hAnsi="Times New Roman"/>
                              </w:rPr>
                              <w:t xml:space="preserve">Figure </w:t>
                            </w:r>
                            <w:r>
                              <w:rPr>
                                <w:rFonts w:ascii="Times New Roman" w:hAnsi="Times New Roman"/>
                              </w:rPr>
                              <w:t>4.</w:t>
                            </w:r>
                            <w:r w:rsidRPr="00C36C20">
                              <w:rPr>
                                <w:rFonts w:ascii="Times New Roman" w:hAnsi="Times New Roman"/>
                              </w:rPr>
                              <w:t xml:space="preserve"> Examples of the beam injection into storage ring systems Recirculating Energy Recovery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094003" id="Text Box 29" o:spid="_x0000_s1032" type="#_x0000_t202" style="position:absolute;left:0;text-align:left;margin-left:0;margin-top:156.65pt;width:482.25pt;height:20.25pt;z-index:2516802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" filled="f" stroked="f" strokeweight=".5pt">
                <v:textbox>
                  <w:txbxContent>
                    <w:p w14:paraId="71BEE741" w14:textId="39FBEC4A" w:rsidR="00C36C20" w:rsidRPr="00C36C20" w:rsidRDefault="00C36C20">
                      <w:pPr>
                        <w:rPr>
                          <w:rFonts w:ascii="Times New Roman" w:hAnsi="Times New Roman"/>
                        </w:rPr>
                      </w:pPr>
                      <w:r w:rsidRPr="00C36C20">
                        <w:rPr>
                          <w:rFonts w:ascii="Times New Roman" w:hAnsi="Times New Roman"/>
                        </w:rPr>
                        <w:t xml:space="preserve">Figure </w:t>
                      </w:r>
                      <w:r>
                        <w:rPr>
                          <w:rFonts w:ascii="Times New Roman" w:hAnsi="Times New Roman"/>
                        </w:rPr>
                        <w:t>4.</w:t>
                      </w:r>
                      <w:r w:rsidRPr="00C36C20">
                        <w:rPr>
                          <w:rFonts w:ascii="Times New Roman" w:hAnsi="Times New Roman"/>
                        </w:rPr>
                        <w:t xml:space="preserve"> Examples of the beam injection into storage ring systems</w:t>
                      </w:r>
                      <w:r w:rsidRPr="00C36C20">
                        <w:rPr>
                          <w:rFonts w:ascii="Times New Roman" w:hAnsi="Times New Roman"/>
                        </w:rPr>
                        <w:t xml:space="preserve"> </w:t>
                      </w:r>
                      <w:r w:rsidRPr="00C36C20">
                        <w:rPr>
                          <w:rFonts w:ascii="Times New Roman" w:hAnsi="Times New Roman"/>
                        </w:rPr>
                        <w:t>Recirculating Energy Recovery system</w:t>
                      </w:r>
                    </w:p>
                  </w:txbxContent>
                </v:textbox>
                <w10:wrap type="square" anchorx="margin"/>
              </v:shape>
            </w:pict>
          </mc:Fallback>
        </mc:AlternateContent>
      </w:r>
      <w:r w:rsidR="004105CD">
        <w:rPr>
          <w:rFonts w:eastAsiaTheme="minorEastAsia"/>
          <w:noProof/>
        </w:rPr>
        <w:drawing>
          <wp:anchor distT="0" distB="0" distL="114300" distR="114300" simplePos="0" relativeHeight="251668992" behindDoc="0" locked="0" layoutInCell="1" allowOverlap="1" wp14:anchorId="3D7C86C1" wp14:editId="23DA24D9">
            <wp:simplePos x="0" y="0"/>
            <wp:positionH relativeFrom="margin">
              <wp:posOffset>134620</wp:posOffset>
            </wp:positionH>
            <wp:positionV relativeFrom="paragraph">
              <wp:posOffset>0</wp:posOffset>
            </wp:positionV>
            <wp:extent cx="5848350" cy="20574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8350" cy="2057400"/>
                    </a:xfrm>
                    <a:prstGeom prst="rect">
                      <a:avLst/>
                    </a:prstGeom>
                    <a:noFill/>
                  </pic:spPr>
                </pic:pic>
              </a:graphicData>
            </a:graphic>
            <wp14:sizeRelH relativeFrom="page">
              <wp14:pctWidth>0</wp14:pctWidth>
            </wp14:sizeRelH>
            <wp14:sizeRelV relativeFrom="page">
              <wp14:pctHeight>0</wp14:pctHeight>
            </wp14:sizeRelV>
          </wp:anchor>
        </w:drawing>
      </w:r>
      <w:r>
        <w:rPr>
          <w:rFonts w:eastAsiaTheme="minorEastAsia"/>
        </w:rPr>
        <w:t xml:space="preserve"> </w:t>
      </w:r>
      <w:r w:rsidR="00226507">
        <w:rPr>
          <w:rFonts w:eastAsiaTheme="minorEastAsia"/>
        </w:rPr>
        <w:t xml:space="preserve">single bunch charge from 0.5 </w:t>
      </w:r>
      <w:proofErr w:type="spellStart"/>
      <w:r w:rsidR="00226507">
        <w:rPr>
          <w:rFonts w:eastAsiaTheme="minorEastAsia"/>
        </w:rPr>
        <w:t>nC</w:t>
      </w:r>
      <w:proofErr w:type="spellEnd"/>
      <w:r w:rsidR="00226507">
        <w:rPr>
          <w:rFonts w:eastAsiaTheme="minorEastAsia"/>
        </w:rPr>
        <w:t xml:space="preserve"> to 1.5 </w:t>
      </w:r>
      <w:proofErr w:type="spellStart"/>
      <w:r w:rsidR="00226507">
        <w:rPr>
          <w:rFonts w:eastAsiaTheme="minorEastAsia"/>
        </w:rPr>
        <w:t>nC</w:t>
      </w:r>
      <w:proofErr w:type="spellEnd"/>
      <w:r w:rsidR="00226507">
        <w:rPr>
          <w:rFonts w:eastAsiaTheme="minorEastAsia"/>
        </w:rPr>
        <w:t>, repetition rate from 300 MHz to 700 MHz, RMS bunch length from 0.5 mm to 2 mm, t</w:t>
      </w:r>
      <w:r w:rsidR="00226507" w:rsidRPr="00CD2CB2">
        <w:rPr>
          <w:rFonts w:eastAsiaTheme="minorEastAsia"/>
        </w:rPr>
        <w:t xml:space="preserve">ransverse </w:t>
      </w:r>
      <w:r w:rsidR="00226507" w:rsidRPr="003F2B84">
        <w:rPr>
          <w:rFonts w:ascii="Times New Roman" w:eastAsiaTheme="minorEastAsia" w:hAnsi="Times New Roman"/>
          <w:i/>
        </w:rPr>
        <w:t>rms</w:t>
      </w:r>
      <w:r w:rsidR="00226507" w:rsidRPr="00CD2CB2">
        <w:rPr>
          <w:rFonts w:eastAsiaTheme="minorEastAsia"/>
        </w:rPr>
        <w:t xml:space="preserve"> bunch </w:t>
      </w:r>
      <w:r w:rsidR="00226507">
        <w:rPr>
          <w:rFonts w:eastAsiaTheme="minorEastAsia"/>
        </w:rPr>
        <w:t xml:space="preserve">dimensions, </w:t>
      </w:r>
      <m:oMath>
        <m:sSub>
          <m:sSubPr>
            <m:ctrlPr>
              <w:rPr>
                <w:rFonts w:ascii="Cambria Math" w:hAnsi="Cambria Math"/>
                <w:i/>
              </w:rPr>
            </m:ctrlPr>
          </m:sSubPr>
          <m:e>
            <m:r>
              <w:rPr>
                <w:rFonts w:ascii="Cambria Math" w:hAnsi="Cambria Math"/>
              </w:rPr>
              <m:t xml:space="preserve"> σ</m:t>
            </m:r>
          </m:e>
          <m:sub>
            <m:r>
              <w:rPr>
                <w:rFonts w:ascii="Cambria Math" w:hAnsi="Cambria Math"/>
              </w:rPr>
              <m:t>x,y</m:t>
            </m:r>
          </m:sub>
        </m:sSub>
        <m:r>
          <w:rPr>
            <w:rFonts w:ascii="Cambria Math" w:hAnsi="Cambria Math"/>
          </w:rPr>
          <m:t xml:space="preserve"> </m:t>
        </m:r>
      </m:oMath>
      <w:r w:rsidR="00226507">
        <w:rPr>
          <w:rFonts w:eastAsiaTheme="minorEastAsia"/>
        </w:rPr>
        <w:t>, from 0.00</w:t>
      </w:r>
      <w:r w:rsidR="00226507" w:rsidRPr="00CD2CB2">
        <w:rPr>
          <w:rFonts w:eastAsiaTheme="minorEastAsia"/>
        </w:rPr>
        <w:t>2</w:t>
      </w:r>
      <w:r w:rsidR="00226507">
        <w:rPr>
          <w:rFonts w:eastAsiaTheme="minorEastAsia"/>
        </w:rPr>
        <w:t xml:space="preserve"> mm to 0.5 mm,</w:t>
      </w:r>
      <w:r w:rsidR="00226507" w:rsidRPr="00CD2CB2">
        <w:rPr>
          <w:rFonts w:eastAsiaTheme="minorEastAsia"/>
        </w:rPr>
        <w:t xml:space="preserve"> </w:t>
      </w:r>
      <w:r w:rsidR="00226507">
        <w:rPr>
          <w:rFonts w:eastAsiaTheme="minorEastAsia"/>
        </w:rPr>
        <w:t xml:space="preserve">average beam current from 0.1 A to 1 A. Before injecting the 1 GeV bunches into the cooling rings, they can be transported through a conditioning line (compression, cooling, etc.) to match the beam parameters to the beams inside the rings.  In Table </w:t>
      </w:r>
      <w:r w:rsidR="005A5893">
        <w:rPr>
          <w:rFonts w:eastAsiaTheme="minorEastAsia"/>
        </w:rPr>
        <w:t>1</w:t>
      </w:r>
      <w:r w:rsidR="00226507">
        <w:rPr>
          <w:rFonts w:eastAsiaTheme="minorEastAsia"/>
        </w:rPr>
        <w:t>, the parameters of the RERS are presented.</w:t>
      </w:r>
    </w:p>
    <w:p w14:paraId="2B5DD770" w14:textId="51E5A45E" w:rsidR="00603D2F" w:rsidRPr="009E6644" w:rsidRDefault="00603D2F" w:rsidP="00603D2F">
      <w:pPr>
        <w:pStyle w:val="JACoWTableCaption"/>
        <w:rPr>
          <w:b/>
        </w:rPr>
      </w:pPr>
      <w:r w:rsidRPr="009E6644">
        <w:t xml:space="preserve">Table 1: </w:t>
      </w:r>
      <w:r w:rsidR="00252C44" w:rsidRPr="00252C44">
        <w:t>Example of possible RERS basic parameters</w:t>
      </w:r>
      <w:r w:rsidR="00174C53">
        <w:t xml:space="preserve"> as compared with PERLE and CBETA</w:t>
      </w:r>
    </w:p>
    <w:tbl>
      <w:tblPr>
        <w:tblW w:w="4796" w:type="dxa"/>
        <w:jc w:val="center"/>
        <w:tblBorders>
          <w:top w:val="single" w:sz="12" w:space="0" w:color="auto"/>
          <w:bottom w:val="single" w:sz="12" w:space="0" w:color="auto"/>
          <w:insideH w:val="single" w:sz="4" w:space="0" w:color="auto"/>
        </w:tblBorders>
        <w:tblLook w:val="0000" w:firstRow="0" w:lastRow="0" w:firstColumn="0" w:lastColumn="0" w:noHBand="0" w:noVBand="0"/>
      </w:tblPr>
      <w:tblGrid>
        <w:gridCol w:w="1596"/>
        <w:gridCol w:w="872"/>
        <w:gridCol w:w="146"/>
        <w:gridCol w:w="1000"/>
        <w:gridCol w:w="109"/>
        <w:gridCol w:w="989"/>
        <w:gridCol w:w="84"/>
      </w:tblGrid>
      <w:tr w:rsidR="00174C53" w:rsidRPr="009E6644" w14:paraId="6B12811D" w14:textId="77777777" w:rsidTr="00174C53">
        <w:trPr>
          <w:gridAfter w:val="1"/>
          <w:wAfter w:w="100" w:type="dxa"/>
          <w:jc w:val="center"/>
        </w:trPr>
        <w:tc>
          <w:tcPr>
            <w:tcW w:w="1730" w:type="dxa"/>
            <w:tcBorders>
              <w:top w:val="single" w:sz="8" w:space="0" w:color="auto"/>
              <w:bottom w:val="single" w:sz="4" w:space="0" w:color="auto"/>
            </w:tcBorders>
          </w:tcPr>
          <w:p w14:paraId="4A1EAF71" w14:textId="20C81AA2" w:rsidR="00174C53" w:rsidRPr="009E6644" w:rsidRDefault="00174C53" w:rsidP="00277F7A">
            <w:pPr>
              <w:pStyle w:val="TableCaption"/>
              <w:keepNext/>
              <w:spacing w:before="20" w:after="20"/>
              <w:jc w:val="left"/>
              <w:rPr>
                <w:b/>
                <w:bCs/>
                <w:kern w:val="16"/>
                <w:szCs w:val="18"/>
              </w:rPr>
            </w:pPr>
          </w:p>
        </w:tc>
        <w:tc>
          <w:tcPr>
            <w:tcW w:w="807" w:type="dxa"/>
            <w:gridSpan w:val="2"/>
            <w:tcBorders>
              <w:top w:val="single" w:sz="8" w:space="0" w:color="auto"/>
              <w:bottom w:val="single" w:sz="4" w:space="0" w:color="auto"/>
            </w:tcBorders>
          </w:tcPr>
          <w:p w14:paraId="163D4E08" w14:textId="2BF6EA36" w:rsidR="00174C53" w:rsidRPr="009E6644" w:rsidRDefault="00174C53" w:rsidP="00277F7A">
            <w:pPr>
              <w:pStyle w:val="TableCaption"/>
              <w:keepNext/>
              <w:spacing w:before="20" w:after="20"/>
              <w:rPr>
                <w:b/>
                <w:bCs/>
                <w:kern w:val="16"/>
                <w:szCs w:val="18"/>
              </w:rPr>
            </w:pPr>
            <w:r>
              <w:rPr>
                <w:b/>
                <w:bCs/>
                <w:kern w:val="16"/>
                <w:szCs w:val="18"/>
              </w:rPr>
              <w:t>RERS</w:t>
            </w:r>
          </w:p>
        </w:tc>
        <w:tc>
          <w:tcPr>
            <w:tcW w:w="1149" w:type="dxa"/>
            <w:gridSpan w:val="2"/>
            <w:tcBorders>
              <w:top w:val="single" w:sz="8" w:space="0" w:color="auto"/>
              <w:bottom w:val="single" w:sz="4" w:space="0" w:color="auto"/>
            </w:tcBorders>
          </w:tcPr>
          <w:p w14:paraId="124F9EEB" w14:textId="6C0D6DA1" w:rsidR="00174C53" w:rsidRPr="009E6644" w:rsidRDefault="00174C53" w:rsidP="00277F7A">
            <w:pPr>
              <w:pStyle w:val="TableCaption"/>
              <w:keepNext/>
              <w:spacing w:before="20" w:after="20"/>
              <w:rPr>
                <w:b/>
                <w:bCs/>
                <w:kern w:val="16"/>
                <w:szCs w:val="18"/>
              </w:rPr>
            </w:pPr>
            <w:r>
              <w:rPr>
                <w:b/>
                <w:bCs/>
                <w:kern w:val="16"/>
                <w:szCs w:val="18"/>
              </w:rPr>
              <w:t>PERLE</w:t>
            </w:r>
          </w:p>
        </w:tc>
        <w:tc>
          <w:tcPr>
            <w:tcW w:w="1010" w:type="dxa"/>
            <w:tcBorders>
              <w:top w:val="single" w:sz="8" w:space="0" w:color="auto"/>
              <w:bottom w:val="single" w:sz="4" w:space="0" w:color="auto"/>
            </w:tcBorders>
          </w:tcPr>
          <w:p w14:paraId="48E7436D" w14:textId="6D9C5079" w:rsidR="00174C53" w:rsidRPr="009E6644" w:rsidRDefault="00174C53" w:rsidP="00277F7A">
            <w:pPr>
              <w:pStyle w:val="TableCaption"/>
              <w:keepNext/>
              <w:spacing w:before="20" w:after="20"/>
              <w:rPr>
                <w:b/>
                <w:bCs/>
                <w:kern w:val="16"/>
                <w:szCs w:val="18"/>
              </w:rPr>
            </w:pPr>
            <w:r>
              <w:rPr>
                <w:b/>
                <w:bCs/>
                <w:kern w:val="16"/>
                <w:szCs w:val="18"/>
              </w:rPr>
              <w:t>CBETA</w:t>
            </w:r>
          </w:p>
        </w:tc>
      </w:tr>
      <w:tr w:rsidR="00174C53" w:rsidRPr="009E6644" w14:paraId="1C35CEFB" w14:textId="77777777" w:rsidTr="00174C53">
        <w:trPr>
          <w:jc w:val="center"/>
        </w:trPr>
        <w:tc>
          <w:tcPr>
            <w:tcW w:w="1730" w:type="dxa"/>
            <w:tcBorders>
              <w:top w:val="single" w:sz="4" w:space="0" w:color="auto"/>
              <w:bottom w:val="nil"/>
            </w:tcBorders>
          </w:tcPr>
          <w:p w14:paraId="3FF0318B" w14:textId="0AF1A9AA" w:rsidR="00174C53" w:rsidRPr="009E6644" w:rsidRDefault="00174C53" w:rsidP="00277F7A">
            <w:pPr>
              <w:pStyle w:val="TableCaption"/>
              <w:keepNext/>
              <w:spacing w:before="20" w:after="20"/>
              <w:jc w:val="left"/>
              <w:rPr>
                <w:kern w:val="16"/>
                <w:szCs w:val="18"/>
              </w:rPr>
            </w:pPr>
            <w:r>
              <w:rPr>
                <w:kern w:val="16"/>
                <w:szCs w:val="18"/>
              </w:rPr>
              <w:t>RF (GHz)</w:t>
            </w:r>
          </w:p>
        </w:tc>
        <w:tc>
          <w:tcPr>
            <w:tcW w:w="633" w:type="dxa"/>
            <w:tcBorders>
              <w:top w:val="single" w:sz="4" w:space="0" w:color="auto"/>
              <w:bottom w:val="nil"/>
            </w:tcBorders>
          </w:tcPr>
          <w:p w14:paraId="7CA96CA5" w14:textId="632E3B61" w:rsidR="00174C53" w:rsidRPr="009E6644" w:rsidRDefault="00174C53" w:rsidP="00277F7A">
            <w:pPr>
              <w:pStyle w:val="TableCaption"/>
              <w:keepNext/>
              <w:spacing w:before="20" w:after="20"/>
              <w:rPr>
                <w:kern w:val="16"/>
                <w:szCs w:val="18"/>
              </w:rPr>
            </w:pPr>
            <w:r>
              <w:rPr>
                <w:kern w:val="16"/>
                <w:szCs w:val="18"/>
              </w:rPr>
              <w:t>1.3</w:t>
            </w:r>
          </w:p>
        </w:tc>
        <w:tc>
          <w:tcPr>
            <w:tcW w:w="1203" w:type="dxa"/>
            <w:gridSpan w:val="2"/>
            <w:tcBorders>
              <w:top w:val="single" w:sz="4" w:space="0" w:color="auto"/>
              <w:bottom w:val="nil"/>
            </w:tcBorders>
          </w:tcPr>
          <w:p w14:paraId="24CD6BBC" w14:textId="4B4A679D" w:rsidR="00174C53" w:rsidRPr="009E6644" w:rsidRDefault="00174C53" w:rsidP="00277F7A">
            <w:pPr>
              <w:pStyle w:val="TableCaption"/>
              <w:keepNext/>
              <w:spacing w:before="20" w:after="20"/>
              <w:rPr>
                <w:kern w:val="16"/>
                <w:szCs w:val="18"/>
              </w:rPr>
            </w:pPr>
            <w:r>
              <w:rPr>
                <w:kern w:val="16"/>
                <w:szCs w:val="18"/>
              </w:rPr>
              <w:t>0.801</w:t>
            </w:r>
          </w:p>
        </w:tc>
        <w:tc>
          <w:tcPr>
            <w:tcW w:w="1230" w:type="dxa"/>
            <w:gridSpan w:val="3"/>
            <w:tcBorders>
              <w:top w:val="single" w:sz="4" w:space="0" w:color="auto"/>
              <w:bottom w:val="nil"/>
            </w:tcBorders>
          </w:tcPr>
          <w:p w14:paraId="0AB9FD44" w14:textId="15568C3B" w:rsidR="00174C53" w:rsidRPr="009E6644" w:rsidRDefault="00174C53" w:rsidP="00277F7A">
            <w:pPr>
              <w:pStyle w:val="TableCaption"/>
              <w:keepNext/>
              <w:spacing w:before="20" w:after="20"/>
              <w:rPr>
                <w:kern w:val="16"/>
                <w:szCs w:val="18"/>
              </w:rPr>
            </w:pPr>
            <w:r>
              <w:rPr>
                <w:kern w:val="16"/>
                <w:szCs w:val="18"/>
              </w:rPr>
              <w:t>1.3</w:t>
            </w:r>
          </w:p>
        </w:tc>
      </w:tr>
      <w:tr w:rsidR="00174C53" w:rsidRPr="009E6644" w14:paraId="79A2841B" w14:textId="77777777" w:rsidTr="00174C53">
        <w:trPr>
          <w:jc w:val="center"/>
        </w:trPr>
        <w:tc>
          <w:tcPr>
            <w:tcW w:w="1730" w:type="dxa"/>
            <w:tcBorders>
              <w:top w:val="nil"/>
              <w:bottom w:val="nil"/>
            </w:tcBorders>
          </w:tcPr>
          <w:p w14:paraId="57522C47" w14:textId="29DF4CDD" w:rsidR="00174C53" w:rsidRPr="009E6644" w:rsidRDefault="00174C53" w:rsidP="00277F7A">
            <w:pPr>
              <w:pStyle w:val="TableCaption"/>
              <w:keepNext/>
              <w:spacing w:before="20" w:after="20"/>
              <w:jc w:val="left"/>
              <w:rPr>
                <w:kern w:val="16"/>
                <w:szCs w:val="18"/>
              </w:rPr>
            </w:pPr>
            <w:r>
              <w:rPr>
                <w:kern w:val="16"/>
                <w:szCs w:val="18"/>
              </w:rPr>
              <w:t>Injection/Max energy (MeV)</w:t>
            </w:r>
          </w:p>
        </w:tc>
        <w:tc>
          <w:tcPr>
            <w:tcW w:w="633" w:type="dxa"/>
            <w:tcBorders>
              <w:top w:val="nil"/>
              <w:bottom w:val="nil"/>
            </w:tcBorders>
          </w:tcPr>
          <w:p w14:paraId="0679895F" w14:textId="595436C7" w:rsidR="00174C53" w:rsidRPr="009E6644" w:rsidRDefault="00174C53" w:rsidP="00277F7A">
            <w:pPr>
              <w:pStyle w:val="TableCaption"/>
              <w:keepNext/>
              <w:spacing w:before="20" w:after="20"/>
              <w:rPr>
                <w:kern w:val="16"/>
                <w:szCs w:val="18"/>
              </w:rPr>
            </w:pPr>
            <w:r>
              <w:rPr>
                <w:kern w:val="16"/>
                <w:szCs w:val="18"/>
              </w:rPr>
              <w:t>40/1000</w:t>
            </w:r>
          </w:p>
        </w:tc>
        <w:tc>
          <w:tcPr>
            <w:tcW w:w="1203" w:type="dxa"/>
            <w:gridSpan w:val="2"/>
            <w:tcBorders>
              <w:top w:val="nil"/>
              <w:bottom w:val="nil"/>
            </w:tcBorders>
          </w:tcPr>
          <w:p w14:paraId="70B831CF" w14:textId="6198B7CB" w:rsidR="00174C53" w:rsidRPr="009E6644" w:rsidRDefault="00174C53" w:rsidP="00277F7A">
            <w:pPr>
              <w:pStyle w:val="TableCaption"/>
              <w:keepNext/>
              <w:spacing w:before="20" w:after="20"/>
              <w:rPr>
                <w:kern w:val="16"/>
                <w:szCs w:val="18"/>
              </w:rPr>
            </w:pPr>
            <w:r>
              <w:rPr>
                <w:kern w:val="16"/>
                <w:szCs w:val="18"/>
              </w:rPr>
              <w:t>5-10/1000</w:t>
            </w:r>
          </w:p>
        </w:tc>
        <w:tc>
          <w:tcPr>
            <w:tcW w:w="1230" w:type="dxa"/>
            <w:gridSpan w:val="3"/>
            <w:tcBorders>
              <w:top w:val="nil"/>
              <w:bottom w:val="nil"/>
            </w:tcBorders>
          </w:tcPr>
          <w:p w14:paraId="7F97B25D" w14:textId="69404BBA" w:rsidR="00174C53" w:rsidRPr="009E6644" w:rsidRDefault="00174C53" w:rsidP="00277F7A">
            <w:pPr>
              <w:pStyle w:val="TableCaption"/>
              <w:keepNext/>
              <w:spacing w:before="20" w:after="20"/>
              <w:rPr>
                <w:kern w:val="16"/>
                <w:szCs w:val="18"/>
              </w:rPr>
            </w:pPr>
            <w:r>
              <w:rPr>
                <w:kern w:val="16"/>
                <w:szCs w:val="18"/>
              </w:rPr>
              <w:t>6/150</w:t>
            </w:r>
          </w:p>
        </w:tc>
      </w:tr>
      <w:tr w:rsidR="00174C53" w:rsidRPr="009E6644" w14:paraId="3245E3BF" w14:textId="77777777" w:rsidTr="00174C53">
        <w:trPr>
          <w:jc w:val="center"/>
        </w:trPr>
        <w:tc>
          <w:tcPr>
            <w:tcW w:w="1730" w:type="dxa"/>
            <w:tcBorders>
              <w:top w:val="nil"/>
              <w:bottom w:val="nil"/>
            </w:tcBorders>
          </w:tcPr>
          <w:p w14:paraId="6AB2F66B" w14:textId="519C05CA" w:rsidR="00174C53" w:rsidRPr="009E6644" w:rsidRDefault="00174C53" w:rsidP="00277F7A">
            <w:pPr>
              <w:pStyle w:val="TableCaption"/>
              <w:keepNext/>
              <w:spacing w:before="20" w:after="20"/>
              <w:jc w:val="left"/>
              <w:rPr>
                <w:kern w:val="16"/>
                <w:szCs w:val="18"/>
              </w:rPr>
            </w:pPr>
            <w:proofErr w:type="spellStart"/>
            <w:r>
              <w:rPr>
                <w:kern w:val="16"/>
                <w:szCs w:val="18"/>
              </w:rPr>
              <w:t>Rep.Rate</w:t>
            </w:r>
            <w:proofErr w:type="spellEnd"/>
            <w:r>
              <w:rPr>
                <w:kern w:val="16"/>
                <w:szCs w:val="18"/>
              </w:rPr>
              <w:t xml:space="preserve"> (MHz)</w:t>
            </w:r>
          </w:p>
        </w:tc>
        <w:tc>
          <w:tcPr>
            <w:tcW w:w="633" w:type="dxa"/>
            <w:tcBorders>
              <w:top w:val="nil"/>
              <w:bottom w:val="nil"/>
            </w:tcBorders>
          </w:tcPr>
          <w:p w14:paraId="6EA45563" w14:textId="63418C82" w:rsidR="00174C53" w:rsidRPr="009E6644" w:rsidRDefault="00174C53" w:rsidP="00277F7A">
            <w:pPr>
              <w:pStyle w:val="TableCaption"/>
              <w:keepNext/>
              <w:spacing w:before="20" w:after="20"/>
              <w:rPr>
                <w:kern w:val="16"/>
                <w:szCs w:val="18"/>
              </w:rPr>
            </w:pPr>
            <w:r>
              <w:rPr>
                <w:kern w:val="16"/>
                <w:szCs w:val="18"/>
              </w:rPr>
              <w:t>CW</w:t>
            </w:r>
            <w:r w:rsidRPr="009E6644">
              <w:rPr>
                <w:kern w:val="16"/>
                <w:szCs w:val="18"/>
              </w:rPr>
              <w:t xml:space="preserve"> </w:t>
            </w:r>
          </w:p>
        </w:tc>
        <w:tc>
          <w:tcPr>
            <w:tcW w:w="1203" w:type="dxa"/>
            <w:gridSpan w:val="2"/>
            <w:tcBorders>
              <w:top w:val="nil"/>
              <w:bottom w:val="nil"/>
            </w:tcBorders>
          </w:tcPr>
          <w:p w14:paraId="0C87237B" w14:textId="0D7ADA18" w:rsidR="00174C53" w:rsidRPr="009E6644" w:rsidRDefault="00174C53" w:rsidP="00277F7A">
            <w:pPr>
              <w:pStyle w:val="TableCaption"/>
              <w:keepNext/>
              <w:spacing w:before="20" w:after="20"/>
              <w:rPr>
                <w:kern w:val="16"/>
                <w:szCs w:val="18"/>
              </w:rPr>
            </w:pPr>
            <w:r>
              <w:rPr>
                <w:kern w:val="16"/>
                <w:szCs w:val="18"/>
              </w:rPr>
              <w:t>CW</w:t>
            </w:r>
          </w:p>
        </w:tc>
        <w:tc>
          <w:tcPr>
            <w:tcW w:w="1230" w:type="dxa"/>
            <w:gridSpan w:val="3"/>
            <w:tcBorders>
              <w:top w:val="nil"/>
              <w:bottom w:val="nil"/>
            </w:tcBorders>
          </w:tcPr>
          <w:p w14:paraId="316CB419" w14:textId="533A88A3" w:rsidR="00174C53" w:rsidRPr="009E6644" w:rsidRDefault="00174C53" w:rsidP="00277F7A">
            <w:pPr>
              <w:pStyle w:val="TableCaption"/>
              <w:keepNext/>
              <w:spacing w:before="20" w:after="20"/>
              <w:rPr>
                <w:kern w:val="16"/>
                <w:szCs w:val="18"/>
              </w:rPr>
            </w:pPr>
            <w:r>
              <w:rPr>
                <w:kern w:val="16"/>
                <w:szCs w:val="18"/>
              </w:rPr>
              <w:t>325</w:t>
            </w:r>
          </w:p>
        </w:tc>
      </w:tr>
      <w:tr w:rsidR="00174C53" w:rsidRPr="009E6644" w14:paraId="54A01363" w14:textId="77777777" w:rsidTr="00174C53">
        <w:trPr>
          <w:jc w:val="center"/>
        </w:trPr>
        <w:tc>
          <w:tcPr>
            <w:tcW w:w="1730" w:type="dxa"/>
            <w:tcBorders>
              <w:top w:val="nil"/>
              <w:bottom w:val="single" w:sz="8" w:space="0" w:color="auto"/>
            </w:tcBorders>
          </w:tcPr>
          <w:p w14:paraId="3E3EE6DC" w14:textId="77501CF2" w:rsidR="00174C53" w:rsidRPr="009E6644" w:rsidRDefault="00174C53" w:rsidP="00277F7A">
            <w:pPr>
              <w:pStyle w:val="TableCaption"/>
              <w:spacing w:before="20" w:after="20"/>
              <w:jc w:val="left"/>
              <w:rPr>
                <w:kern w:val="16"/>
                <w:szCs w:val="18"/>
              </w:rPr>
            </w:pPr>
            <w:r>
              <w:rPr>
                <w:kern w:val="16"/>
                <w:szCs w:val="18"/>
              </w:rPr>
              <w:t>Beam current (mA)</w:t>
            </w:r>
          </w:p>
        </w:tc>
        <w:tc>
          <w:tcPr>
            <w:tcW w:w="633" w:type="dxa"/>
            <w:tcBorders>
              <w:top w:val="nil"/>
              <w:bottom w:val="single" w:sz="8" w:space="0" w:color="auto"/>
            </w:tcBorders>
          </w:tcPr>
          <w:p w14:paraId="0E2B62E9" w14:textId="54FDE111" w:rsidR="00174C53" w:rsidRPr="009E6644" w:rsidRDefault="00174C53" w:rsidP="00277F7A">
            <w:pPr>
              <w:pStyle w:val="TableCaption"/>
              <w:spacing w:before="20" w:after="20"/>
              <w:rPr>
                <w:kern w:val="16"/>
                <w:szCs w:val="18"/>
              </w:rPr>
            </w:pPr>
            <w:r>
              <w:rPr>
                <w:kern w:val="16"/>
                <w:szCs w:val="18"/>
              </w:rPr>
              <w:t>100-1000</w:t>
            </w:r>
          </w:p>
        </w:tc>
        <w:tc>
          <w:tcPr>
            <w:tcW w:w="1203" w:type="dxa"/>
            <w:gridSpan w:val="2"/>
            <w:tcBorders>
              <w:top w:val="nil"/>
              <w:bottom w:val="single" w:sz="8" w:space="0" w:color="auto"/>
            </w:tcBorders>
          </w:tcPr>
          <w:p w14:paraId="4E795362" w14:textId="3F3E1C01" w:rsidR="00174C53" w:rsidRPr="009E6644" w:rsidRDefault="00174C53" w:rsidP="00277F7A">
            <w:pPr>
              <w:pStyle w:val="TableCaption"/>
              <w:spacing w:before="20" w:after="20"/>
              <w:rPr>
                <w:kern w:val="16"/>
                <w:szCs w:val="18"/>
              </w:rPr>
            </w:pPr>
            <w:r>
              <w:rPr>
                <w:kern w:val="16"/>
                <w:szCs w:val="18"/>
              </w:rPr>
              <w:t>10-20</w:t>
            </w:r>
          </w:p>
        </w:tc>
        <w:tc>
          <w:tcPr>
            <w:tcW w:w="1230" w:type="dxa"/>
            <w:gridSpan w:val="3"/>
            <w:tcBorders>
              <w:top w:val="nil"/>
              <w:bottom w:val="single" w:sz="8" w:space="0" w:color="auto"/>
            </w:tcBorders>
          </w:tcPr>
          <w:p w14:paraId="317E4815" w14:textId="1A3007A8" w:rsidR="00174C53" w:rsidRPr="009E6644" w:rsidRDefault="00174C53" w:rsidP="00277F7A">
            <w:pPr>
              <w:pStyle w:val="TableCaption"/>
              <w:spacing w:before="20" w:after="20"/>
              <w:rPr>
                <w:kern w:val="16"/>
                <w:szCs w:val="18"/>
              </w:rPr>
            </w:pPr>
            <w:r>
              <w:rPr>
                <w:kern w:val="16"/>
                <w:szCs w:val="18"/>
              </w:rPr>
              <w:t>40</w:t>
            </w:r>
          </w:p>
        </w:tc>
      </w:tr>
    </w:tbl>
    <w:p w14:paraId="1297494D" w14:textId="77777777" w:rsidR="00603D2F" w:rsidRDefault="00603D2F" w:rsidP="00226507">
      <w:pPr>
        <w:spacing w:after="100"/>
        <w:jc w:val="both"/>
        <w:rPr>
          <w:rFonts w:eastAsiaTheme="minorEastAsia"/>
        </w:rPr>
      </w:pPr>
    </w:p>
    <w:p w14:paraId="77537ADE" w14:textId="5631ABE6" w:rsidR="00603D2F" w:rsidRPr="009E6644" w:rsidRDefault="00B0513A" w:rsidP="00603D2F">
      <w:pPr>
        <w:pStyle w:val="JACoWSubsectionHeading"/>
      </w:pPr>
      <w:bookmarkStart w:id="4" w:name="_Hlk116136723"/>
      <w:r>
        <w:t>“</w:t>
      </w:r>
      <w:r w:rsidR="00603D2F">
        <w:t>NON-EMITTING</w:t>
      </w:r>
      <w:r>
        <w:t>”</w:t>
      </w:r>
      <w:r w:rsidR="00603D2F">
        <w:t xml:space="preserve"> STORAGE RING</w:t>
      </w:r>
      <w:bookmarkEnd w:id="4"/>
      <w:r w:rsidR="00603D2F">
        <w:t xml:space="preserve"> </w:t>
      </w:r>
    </w:p>
    <w:p w14:paraId="5D884765" w14:textId="514EC160" w:rsidR="00603D2F" w:rsidRDefault="00B0513A" w:rsidP="00226507">
      <w:pPr>
        <w:spacing w:after="100"/>
        <w:jc w:val="both"/>
        <w:rPr>
          <w:rFonts w:eastAsiaTheme="minorEastAsia"/>
        </w:rPr>
      </w:pPr>
      <w:r>
        <w:rPr>
          <w:rFonts w:eastAsiaTheme="minorEastAsia"/>
        </w:rPr>
        <w:t xml:space="preserve">The Storage Rings </w:t>
      </w:r>
      <w:r w:rsidR="00962FD5">
        <w:rPr>
          <w:rFonts w:eastAsiaTheme="minorEastAsia"/>
        </w:rPr>
        <w:t xml:space="preserve">(fig.5a) </w:t>
      </w:r>
      <w:r>
        <w:rPr>
          <w:rFonts w:eastAsiaTheme="minorEastAsia"/>
        </w:rPr>
        <w:t>considered in this concept are multi-purpose systems.</w:t>
      </w:r>
      <w:r w:rsidRPr="00B0513A">
        <w:t xml:space="preserve"> </w:t>
      </w:r>
      <w:r w:rsidRPr="00B0513A">
        <w:rPr>
          <w:rFonts w:eastAsiaTheme="minorEastAsia"/>
        </w:rPr>
        <w:t>The</w:t>
      </w:r>
      <w:r>
        <w:rPr>
          <w:rFonts w:eastAsiaTheme="minorEastAsia"/>
        </w:rPr>
        <w:t>y</w:t>
      </w:r>
      <w:r w:rsidRPr="00B0513A">
        <w:rPr>
          <w:rFonts w:eastAsiaTheme="minorEastAsia"/>
        </w:rPr>
        <w:t xml:space="preserve"> are to be used for: </w:t>
      </w:r>
      <w:r w:rsidR="00962FD5">
        <w:rPr>
          <w:rFonts w:eastAsiaTheme="minorEastAsia"/>
        </w:rPr>
        <w:t>collection/</w:t>
      </w:r>
      <w:r w:rsidRPr="00B0513A">
        <w:rPr>
          <w:rFonts w:eastAsiaTheme="minorEastAsia"/>
        </w:rPr>
        <w:t>accumulation of bunches from the injectors</w:t>
      </w:r>
      <w:r w:rsidR="00962FD5">
        <w:rPr>
          <w:rFonts w:eastAsiaTheme="minorEastAsia"/>
        </w:rPr>
        <w:t xml:space="preserve"> (RERS)</w:t>
      </w:r>
      <w:r>
        <w:rPr>
          <w:rFonts w:eastAsiaTheme="minorEastAsia"/>
        </w:rPr>
        <w:t>,</w:t>
      </w:r>
      <w:r w:rsidRPr="00B0513A">
        <w:rPr>
          <w:rFonts w:eastAsiaTheme="minorEastAsia"/>
        </w:rPr>
        <w:t xml:space="preserve"> the collider (re-circulated beams)</w:t>
      </w:r>
      <w:r>
        <w:rPr>
          <w:rFonts w:eastAsiaTheme="minorEastAsia"/>
        </w:rPr>
        <w:t xml:space="preserve"> and photon factories</w:t>
      </w:r>
      <w:r w:rsidR="00962FD5">
        <w:rPr>
          <w:rFonts w:eastAsiaTheme="minorEastAsia"/>
        </w:rPr>
        <w:t>(fig.5b)</w:t>
      </w:r>
      <w:r>
        <w:rPr>
          <w:rFonts w:eastAsiaTheme="minorEastAsia"/>
        </w:rPr>
        <w:t>;</w:t>
      </w:r>
      <w:r w:rsidRPr="00B0513A">
        <w:rPr>
          <w:rFonts w:eastAsiaTheme="minorEastAsia"/>
        </w:rPr>
        <w:t xml:space="preserve"> conditioning of the bunches</w:t>
      </w:r>
      <w:r>
        <w:rPr>
          <w:rFonts w:eastAsiaTheme="minorEastAsia"/>
        </w:rPr>
        <w:t xml:space="preserve">; re-distribution of the bunches </w:t>
      </w:r>
      <w:r w:rsidR="00962FD5">
        <w:rPr>
          <w:rFonts w:eastAsiaTheme="minorEastAsia"/>
        </w:rPr>
        <w:t>(</w:t>
      </w:r>
      <w:proofErr w:type="gramStart"/>
      <w:r>
        <w:rPr>
          <w:rFonts w:eastAsiaTheme="minorEastAsia"/>
        </w:rPr>
        <w:t>i.e.</w:t>
      </w:r>
      <w:proofErr w:type="gramEnd"/>
      <w:r w:rsidRPr="00B0513A">
        <w:rPr>
          <w:rFonts w:eastAsiaTheme="minorEastAsia"/>
        </w:rPr>
        <w:t xml:space="preserve"> re-injection for repeat application</w:t>
      </w:r>
      <w:r w:rsidR="00962FD5">
        <w:rPr>
          <w:rFonts w:eastAsiaTheme="minorEastAsia"/>
        </w:rPr>
        <w:t>s),</w:t>
      </w:r>
      <w:r w:rsidRPr="00B0513A">
        <w:rPr>
          <w:rFonts w:eastAsiaTheme="minorEastAsia"/>
        </w:rPr>
        <w:t xml:space="preserve"> re-direction for dumping.</w:t>
      </w:r>
      <w:r>
        <w:rPr>
          <w:rFonts w:eastAsiaTheme="minorEastAsia"/>
        </w:rPr>
        <w:t xml:space="preserve"> All t</w:t>
      </w:r>
      <w:r w:rsidRPr="00B0513A">
        <w:rPr>
          <w:rFonts w:eastAsiaTheme="minorEastAsia"/>
        </w:rPr>
        <w:t>he beams</w:t>
      </w:r>
      <w:r>
        <w:rPr>
          <w:rFonts w:eastAsiaTheme="minorEastAsia"/>
        </w:rPr>
        <w:t xml:space="preserve"> prior to their use</w:t>
      </w:r>
      <w:r w:rsidRPr="00B0513A">
        <w:rPr>
          <w:rFonts w:eastAsiaTheme="minorEastAsia"/>
        </w:rPr>
        <w:t xml:space="preserve"> are accumulated in the storage rings (</w:t>
      </w:r>
      <w:proofErr w:type="spellStart"/>
      <w:r w:rsidRPr="00B0513A">
        <w:rPr>
          <w:rFonts w:eastAsiaTheme="minorEastAsia"/>
        </w:rPr>
        <w:t>StRg</w:t>
      </w:r>
      <w:proofErr w:type="spellEnd"/>
      <w:r w:rsidRPr="00B0513A">
        <w:rPr>
          <w:rFonts w:eastAsiaTheme="minorEastAsia"/>
        </w:rPr>
        <w:t>), recirculated, and conditioned (if necessary)</w:t>
      </w:r>
      <w:r>
        <w:rPr>
          <w:rFonts w:eastAsiaTheme="minorEastAsia"/>
        </w:rPr>
        <w:t>.</w:t>
      </w:r>
      <w:r w:rsidRPr="00B0513A">
        <w:rPr>
          <w:rFonts w:eastAsiaTheme="minorEastAsia"/>
        </w:rPr>
        <w:t xml:space="preserve"> </w:t>
      </w:r>
      <w:r>
        <w:rPr>
          <w:rFonts w:eastAsiaTheme="minorEastAsia"/>
        </w:rPr>
        <w:t>I</w:t>
      </w:r>
      <w:r w:rsidRPr="00B0513A">
        <w:rPr>
          <w:rFonts w:eastAsiaTheme="minorEastAsia"/>
        </w:rPr>
        <w:t xml:space="preserve">n Figure 1 the two large radius (1000 m), low energy (1 GeV) storage rings (red circles) are shown. </w:t>
      </w:r>
      <w:r w:rsidR="00A066F0" w:rsidRPr="00A066F0">
        <w:rPr>
          <w:rFonts w:eastAsiaTheme="minorEastAsia"/>
        </w:rPr>
        <w:t>An example of the storage ring, which has recently been designed and commissioned, and can be considered as a prototype</w:t>
      </w:r>
      <w:r w:rsidR="00A066F0">
        <w:rPr>
          <w:rFonts w:eastAsiaTheme="minorEastAsia"/>
        </w:rPr>
        <w:t xml:space="preserve"> </w:t>
      </w:r>
      <w:r w:rsidR="00A066F0" w:rsidRPr="00A066F0">
        <w:rPr>
          <w:rFonts w:eastAsiaTheme="minorEastAsia"/>
        </w:rPr>
        <w:t>is the MAX-IV system [</w:t>
      </w:r>
      <w:r w:rsidR="00A066F0">
        <w:rPr>
          <w:rFonts w:eastAsiaTheme="minorEastAsia"/>
        </w:rPr>
        <w:t>2</w:t>
      </w:r>
      <w:r w:rsidR="00962FD5">
        <w:rPr>
          <w:rFonts w:eastAsiaTheme="minorEastAsia"/>
        </w:rPr>
        <w:t>2</w:t>
      </w:r>
      <w:r w:rsidR="00A066F0" w:rsidRPr="00A066F0">
        <w:rPr>
          <w:rFonts w:eastAsiaTheme="minorEastAsia"/>
        </w:rPr>
        <w:t xml:space="preserve">]. It is a 3 GeV machine with the 528 m circumference, having 20 folds seven bends achromat lattice. Using the MAX-IV parameters, as starting point, the storage rings for the CLER-C can be estimated considering the geometry scaling and the beam energy. One may expect that increasing the radius of the ring and decreasing the beam energy will improve the beam quality parameters, reduce the energy </w:t>
      </w:r>
      <w:proofErr w:type="gramStart"/>
      <w:r w:rsidR="00A066F0" w:rsidRPr="00A066F0">
        <w:rPr>
          <w:rFonts w:eastAsiaTheme="minorEastAsia"/>
        </w:rPr>
        <w:t>loss</w:t>
      </w:r>
      <w:proofErr w:type="gramEnd"/>
      <w:r w:rsidR="00A066F0" w:rsidRPr="00A066F0">
        <w:rPr>
          <w:rFonts w:eastAsiaTheme="minorEastAsia"/>
        </w:rPr>
        <w:t xml:space="preserve"> and ease some of the technical requirements.</w:t>
      </w:r>
      <w:r w:rsidR="00A066F0" w:rsidRPr="00A066F0">
        <w:t xml:space="preserve"> </w:t>
      </w:r>
      <w:r w:rsidR="00A066F0" w:rsidRPr="00A066F0">
        <w:rPr>
          <w:rFonts w:eastAsiaTheme="minorEastAsia"/>
        </w:rPr>
        <w:t>T</w:t>
      </w:r>
      <w:r w:rsidR="00A066F0">
        <w:rPr>
          <w:rFonts w:eastAsiaTheme="minorEastAsia"/>
        </w:rPr>
        <w:t>hus</w:t>
      </w:r>
      <w:r w:rsidR="00A066F0" w:rsidRPr="00A066F0">
        <w:rPr>
          <w:rFonts w:eastAsiaTheme="minorEastAsia"/>
        </w:rPr>
        <w:t xml:space="preserve"> minimise the emission of the synchrotron radiation from the bunches inside the ring, we suggest accumulating the bunches at a relatively low energy (1 GeV) while </w:t>
      </w:r>
      <w:r w:rsidR="00A066F0">
        <w:rPr>
          <w:rFonts w:eastAsiaTheme="minorEastAsia"/>
        </w:rPr>
        <w:t xml:space="preserve">increasing </w:t>
      </w:r>
      <w:r w:rsidR="00A066F0" w:rsidRPr="00A066F0">
        <w:rPr>
          <w:rFonts w:eastAsiaTheme="minorEastAsia"/>
        </w:rPr>
        <w:t xml:space="preserve">the ring radius </w:t>
      </w:r>
      <w:r w:rsidR="00A066F0">
        <w:rPr>
          <w:rFonts w:eastAsiaTheme="minorEastAsia"/>
        </w:rPr>
        <w:t>to 1km (6283m circumference)</w:t>
      </w:r>
      <w:r w:rsidR="00A066F0" w:rsidRPr="00A066F0">
        <w:rPr>
          <w:rFonts w:eastAsiaTheme="minorEastAsia"/>
        </w:rPr>
        <w:t>. This would reduce the energy loss and beam quality degradation</w:t>
      </w:r>
      <w:r w:rsidR="00A066F0">
        <w:rPr>
          <w:rFonts w:eastAsiaTheme="minorEastAsia"/>
        </w:rPr>
        <w:t xml:space="preserve"> as</w:t>
      </w:r>
      <w:r w:rsidR="00A066F0" w:rsidRPr="00A066F0">
        <w:rPr>
          <w:rFonts w:eastAsiaTheme="minorEastAsia"/>
        </w:rPr>
        <w:t xml:space="preserve"> synchrotron radiation generation scales as </w:t>
      </w:r>
      <w:r w:rsidR="00A066F0" w:rsidRPr="008F4C1E">
        <w:rPr>
          <w:rFonts w:eastAsiaTheme="minorEastAsia"/>
          <w:i/>
          <w:iCs/>
        </w:rPr>
        <w:t>γ</w:t>
      </w:r>
      <w:r w:rsidR="00A066F0" w:rsidRPr="008F4C1E">
        <w:rPr>
          <w:rFonts w:eastAsiaTheme="minorEastAsia"/>
          <w:i/>
          <w:iCs/>
          <w:vertAlign w:val="superscript"/>
        </w:rPr>
        <w:t>4</w:t>
      </w:r>
      <w:r w:rsidR="00A066F0" w:rsidRPr="008F4C1E">
        <w:rPr>
          <w:rFonts w:eastAsiaTheme="minorEastAsia"/>
          <w:i/>
          <w:iCs/>
        </w:rPr>
        <w:t xml:space="preserve"> </w:t>
      </w:r>
      <w:r w:rsidR="00A066F0" w:rsidRPr="00A066F0">
        <w:rPr>
          <w:rFonts w:eastAsiaTheme="minorEastAsia"/>
        </w:rPr>
        <w:t xml:space="preserve">and </w:t>
      </w:r>
      <w:r w:rsidR="00A066F0" w:rsidRPr="008F4C1E">
        <w:rPr>
          <w:rFonts w:eastAsiaTheme="minorEastAsia"/>
          <w:i/>
          <w:iCs/>
        </w:rPr>
        <w:t>ρ</w:t>
      </w:r>
      <w:r w:rsidR="00A066F0" w:rsidRPr="008F4C1E">
        <w:rPr>
          <w:rFonts w:eastAsiaTheme="minorEastAsia"/>
          <w:i/>
          <w:iCs/>
          <w:vertAlign w:val="superscript"/>
        </w:rPr>
        <w:t>-2</w:t>
      </w:r>
      <w:r w:rsidR="00A066F0" w:rsidRPr="00A066F0">
        <w:rPr>
          <w:rFonts w:eastAsiaTheme="minorEastAsia"/>
        </w:rPr>
        <w:t xml:space="preserve">. The choice of 1 GeV is also dictated by the compromise between SR energy loss and the ability to use such beams for the </w:t>
      </w:r>
      <w:r w:rsidR="00A066F0">
        <w:rPr>
          <w:rFonts w:eastAsiaTheme="minorEastAsia"/>
        </w:rPr>
        <w:t xml:space="preserve">EUV </w:t>
      </w:r>
      <w:r w:rsidR="00A066F0" w:rsidRPr="00A066F0">
        <w:rPr>
          <w:rFonts w:eastAsiaTheme="minorEastAsia"/>
        </w:rPr>
        <w:t>photon generation</w:t>
      </w:r>
      <w:r w:rsidR="00A066F0">
        <w:rPr>
          <w:rFonts w:eastAsiaTheme="minorEastAsia"/>
        </w:rPr>
        <w:t xml:space="preserve"> </w:t>
      </w:r>
      <w:r w:rsidR="00A066F0" w:rsidRPr="00A066F0">
        <w:rPr>
          <w:rFonts w:eastAsiaTheme="minorEastAsia"/>
        </w:rPr>
        <w:t>without additional energy boosting</w:t>
      </w:r>
      <w:r w:rsidR="00962FD5">
        <w:rPr>
          <w:rFonts w:eastAsiaTheme="minorEastAsia"/>
        </w:rPr>
        <w:t xml:space="preserve"> and a schematic of EUV Free Electron Laser</w:t>
      </w:r>
      <w:r w:rsidR="00A066F0" w:rsidRPr="00A066F0">
        <w:rPr>
          <w:rFonts w:eastAsiaTheme="minorEastAsia"/>
        </w:rPr>
        <w:t xml:space="preserve"> </w:t>
      </w:r>
      <w:r w:rsidR="00962FD5">
        <w:rPr>
          <w:rFonts w:eastAsiaTheme="minorEastAsia"/>
        </w:rPr>
        <w:t xml:space="preserve">(FEL) with dual axis cavities is shown in figure 5b. </w:t>
      </w:r>
      <w:r w:rsidR="00A066F0" w:rsidRPr="00A066F0">
        <w:rPr>
          <w:rFonts w:eastAsiaTheme="minorEastAsia"/>
        </w:rPr>
        <w:t xml:space="preserve">It is assumed that </w:t>
      </w:r>
      <w:r w:rsidR="00A066F0">
        <w:rPr>
          <w:rFonts w:eastAsiaTheme="minorEastAsia"/>
        </w:rPr>
        <w:t>under th</w:t>
      </w:r>
      <w:r w:rsidR="008F4C1E">
        <w:rPr>
          <w:rFonts w:eastAsiaTheme="minorEastAsia"/>
        </w:rPr>
        <w:t>ese</w:t>
      </w:r>
      <w:r w:rsidR="00A066F0">
        <w:rPr>
          <w:rFonts w:eastAsiaTheme="minorEastAsia"/>
        </w:rPr>
        <w:t xml:space="preserve"> conditions </w:t>
      </w:r>
      <w:r w:rsidR="00A066F0" w:rsidRPr="00A066F0">
        <w:rPr>
          <w:rFonts w:eastAsiaTheme="minorEastAsia"/>
        </w:rPr>
        <w:t xml:space="preserve">the rings will be unable to </w:t>
      </w:r>
      <w:r w:rsidR="00A066F0">
        <w:rPr>
          <w:rFonts w:eastAsiaTheme="minorEastAsia"/>
        </w:rPr>
        <w:t xml:space="preserve">accumulate and </w:t>
      </w:r>
      <w:r w:rsidR="00A066F0" w:rsidRPr="00A066F0">
        <w:rPr>
          <w:rFonts w:eastAsiaTheme="minorEastAsia"/>
        </w:rPr>
        <w:t>maintain the beams for as long as required enabling the storage of up to 1 A of average current, with the expected energy loss due to synchrotron radiation not exceeding 0.1 keV per turn. The storage rings should also be used to</w:t>
      </w:r>
      <w:r w:rsidR="00A066F0">
        <w:rPr>
          <w:rFonts w:eastAsiaTheme="minorEastAsia"/>
        </w:rPr>
        <w:t xml:space="preserve"> condition the beams for a specific application and</w:t>
      </w:r>
      <w:r w:rsidR="00A066F0" w:rsidRPr="00A066F0">
        <w:rPr>
          <w:rFonts w:eastAsiaTheme="minorEastAsia"/>
        </w:rPr>
        <w:t xml:space="preserve"> control the quality of the bunches. If electron bunches cannot be conditioned, they are moved to the collector via deceleration sections of the ERLs to be dumped with energies below 1 MeV</w:t>
      </w:r>
      <w:r w:rsidR="00622A23">
        <w:rPr>
          <w:rFonts w:eastAsiaTheme="minorEastAsia"/>
        </w:rPr>
        <w:t>,</w:t>
      </w:r>
      <w:r w:rsidR="00A066F0" w:rsidRPr="00A066F0">
        <w:rPr>
          <w:rFonts w:eastAsiaTheme="minorEastAsia"/>
        </w:rPr>
        <w:t xml:space="preserve"> after passing through the ERL-injector.</w:t>
      </w:r>
      <w:r w:rsidR="008F4C1E" w:rsidRPr="008F4C1E">
        <w:t xml:space="preserve"> </w:t>
      </w:r>
      <w:r w:rsidR="008F4C1E" w:rsidRPr="008F4C1E">
        <w:rPr>
          <w:rFonts w:eastAsiaTheme="minorEastAsia"/>
        </w:rPr>
        <w:t xml:space="preserve">Using </w:t>
      </w:r>
      <w:r w:rsidR="008F4C1E">
        <w:rPr>
          <w:rFonts w:eastAsiaTheme="minorEastAsia"/>
        </w:rPr>
        <w:t>such</w:t>
      </w:r>
      <w:r w:rsidR="008F4C1E" w:rsidRPr="008F4C1E">
        <w:rPr>
          <w:rFonts w:eastAsiaTheme="minorEastAsia"/>
        </w:rPr>
        <w:t xml:space="preserve"> storage rings allows to </w:t>
      </w:r>
      <w:r w:rsidR="008F4C1E">
        <w:rPr>
          <w:rFonts w:eastAsiaTheme="minorEastAsia"/>
        </w:rPr>
        <w:t>drive</w:t>
      </w:r>
      <w:r w:rsidR="008F4C1E" w:rsidRPr="008F4C1E">
        <w:rPr>
          <w:rFonts w:eastAsiaTheme="minorEastAsia"/>
        </w:rPr>
        <w:t xml:space="preserve"> the photon factories to </w:t>
      </w:r>
      <w:r w:rsidR="008F4C1E">
        <w:rPr>
          <w:rFonts w:eastAsiaTheme="minorEastAsia"/>
        </w:rPr>
        <w:t>generate</w:t>
      </w:r>
      <w:r w:rsidR="008F4C1E" w:rsidRPr="008F4C1E">
        <w:rPr>
          <w:rFonts w:eastAsiaTheme="minorEastAsia"/>
        </w:rPr>
        <w:t xml:space="preserve"> EUV, X-ray, and </w:t>
      </w:r>
      <w:bookmarkStart w:id="5" w:name="_Hlk116314039"/>
      <w:r w:rsidR="008F4C1E" w:rsidRPr="008F4C1E">
        <w:rPr>
          <w:rFonts w:eastAsiaTheme="minorEastAsia"/>
        </w:rPr>
        <w:t>γ</w:t>
      </w:r>
      <w:bookmarkEnd w:id="5"/>
      <w:r w:rsidR="008F4C1E" w:rsidRPr="008F4C1E">
        <w:rPr>
          <w:rFonts w:eastAsiaTheme="minorEastAsia"/>
        </w:rPr>
        <w:t xml:space="preserve"> -photon radiation </w:t>
      </w:r>
      <w:r w:rsidR="008F4C1E">
        <w:rPr>
          <w:rFonts w:eastAsiaTheme="minorEastAsia"/>
        </w:rPr>
        <w:t>for research and industrial applications</w:t>
      </w:r>
      <w:r w:rsidR="008F4C1E" w:rsidRPr="008F4C1E">
        <w:rPr>
          <w:rFonts w:eastAsiaTheme="minorEastAsia"/>
        </w:rPr>
        <w:t xml:space="preserve"> </w:t>
      </w:r>
      <w:r w:rsidR="008F4C1E">
        <w:rPr>
          <w:rFonts w:eastAsiaTheme="minorEastAsia"/>
        </w:rPr>
        <w:t>at</w:t>
      </w:r>
      <w:r w:rsidR="008F4C1E" w:rsidRPr="008F4C1E">
        <w:rPr>
          <w:rFonts w:eastAsiaTheme="minorEastAsia"/>
        </w:rPr>
        <w:t xml:space="preserve"> FEL</w:t>
      </w:r>
      <w:r w:rsidR="00962FD5">
        <w:rPr>
          <w:rFonts w:eastAsiaTheme="minorEastAsia"/>
        </w:rPr>
        <w:t>-</w:t>
      </w:r>
      <w:r w:rsidR="008F4C1E" w:rsidRPr="008F4C1E">
        <w:rPr>
          <w:rFonts w:eastAsiaTheme="minorEastAsia"/>
        </w:rPr>
        <w:t>stations as shown in Figure 5</w:t>
      </w:r>
      <w:r w:rsidR="00962FD5">
        <w:rPr>
          <w:rFonts w:eastAsiaTheme="minorEastAsia"/>
        </w:rPr>
        <w:t>a</w:t>
      </w:r>
      <w:r w:rsidR="008F4C1E" w:rsidRPr="008F4C1E">
        <w:rPr>
          <w:rFonts w:eastAsiaTheme="minorEastAsia"/>
        </w:rPr>
        <w:t xml:space="preserve">. </w:t>
      </w:r>
      <w:r w:rsidR="008F4C1E">
        <w:rPr>
          <w:rFonts w:eastAsiaTheme="minorEastAsia"/>
        </w:rPr>
        <w:t xml:space="preserve">The design of the multifunctional Storage Ring will solve both scientific and </w:t>
      </w:r>
      <w:r w:rsidR="00962FD5">
        <w:rPr>
          <w:rFonts w:eastAsiaTheme="minorEastAsia"/>
        </w:rPr>
        <w:t xml:space="preserve">industrial </w:t>
      </w:r>
      <w:r w:rsidR="008F4C1E">
        <w:rPr>
          <w:rFonts w:eastAsiaTheme="minorEastAsia"/>
        </w:rPr>
        <w:t xml:space="preserve">challenges </w:t>
      </w:r>
      <w:r w:rsidR="00962FD5">
        <w:rPr>
          <w:rFonts w:eastAsiaTheme="minorEastAsia"/>
        </w:rPr>
        <w:t>[11], simultaneously</w:t>
      </w:r>
      <w:r w:rsidR="008F4C1E">
        <w:rPr>
          <w:rFonts w:eastAsiaTheme="minorEastAsia"/>
        </w:rPr>
        <w:t xml:space="preserve"> broadening</w:t>
      </w:r>
      <w:r w:rsidR="008F4C1E" w:rsidRPr="008F4C1E">
        <w:rPr>
          <w:rFonts w:eastAsiaTheme="minorEastAsia"/>
        </w:rPr>
        <w:t xml:space="preserve"> the research horizons of the project </w:t>
      </w:r>
      <w:r w:rsidR="00962FD5">
        <w:rPr>
          <w:rFonts w:eastAsiaTheme="minorEastAsia"/>
        </w:rPr>
        <w:t xml:space="preserve">and </w:t>
      </w:r>
      <w:r w:rsidR="008F4C1E" w:rsidRPr="008F4C1E">
        <w:rPr>
          <w:rFonts w:eastAsiaTheme="minorEastAsia"/>
        </w:rPr>
        <w:t>attract</w:t>
      </w:r>
      <w:r w:rsidR="008F4C1E">
        <w:rPr>
          <w:rFonts w:eastAsiaTheme="minorEastAsia"/>
        </w:rPr>
        <w:t>ing</w:t>
      </w:r>
      <w:r w:rsidR="008F4C1E" w:rsidRPr="008F4C1E">
        <w:rPr>
          <w:rFonts w:eastAsiaTheme="minorEastAsia"/>
        </w:rPr>
        <w:t xml:space="preserve"> </w:t>
      </w:r>
      <w:r w:rsidR="008F4C1E">
        <w:rPr>
          <w:rFonts w:eastAsiaTheme="minorEastAsia"/>
        </w:rPr>
        <w:t xml:space="preserve">the </w:t>
      </w:r>
      <w:r w:rsidR="008F4C1E" w:rsidRPr="008F4C1E">
        <w:rPr>
          <w:rFonts w:eastAsiaTheme="minorEastAsia"/>
        </w:rPr>
        <w:t>industrial partners. Considering that the circumference of the ring suggested is 6.3 km, and assuming a typical undulator length of 150 m, one may expect a several</w:t>
      </w:r>
      <w:r w:rsidR="008F4C1E">
        <w:rPr>
          <w:rFonts w:eastAsiaTheme="minorEastAsia"/>
        </w:rPr>
        <w:t xml:space="preserve"> (more than 20)</w:t>
      </w:r>
      <w:r w:rsidR="008F4C1E" w:rsidRPr="008F4C1E">
        <w:rPr>
          <w:rFonts w:eastAsiaTheme="minorEastAsia"/>
        </w:rPr>
        <w:t xml:space="preserve"> FEL stations installed along the ring. Each FEL station </w:t>
      </w:r>
      <w:r w:rsidR="00962FD5">
        <w:rPr>
          <w:rFonts w:eastAsiaTheme="minorEastAsia"/>
        </w:rPr>
        <w:t xml:space="preserve">(fig.5b) </w:t>
      </w:r>
      <w:r w:rsidR="008F4C1E" w:rsidRPr="008F4C1E">
        <w:rPr>
          <w:rFonts w:eastAsiaTheme="minorEastAsia"/>
        </w:rPr>
        <w:t>could have energy boosting and recovering systems, which would allow the generation of photons in a wide range of the energies. One may also position the FEL stations inside the ring (Fig. 5</w:t>
      </w:r>
      <w:r w:rsidR="00962FD5">
        <w:rPr>
          <w:rFonts w:eastAsiaTheme="minorEastAsia"/>
        </w:rPr>
        <w:t>a</w:t>
      </w:r>
      <w:r w:rsidR="008F4C1E" w:rsidRPr="008F4C1E">
        <w:rPr>
          <w:rFonts w:eastAsiaTheme="minorEastAsia"/>
        </w:rPr>
        <w:t>) along the diameter</w:t>
      </w:r>
      <w:r w:rsidR="008F4C1E">
        <w:rPr>
          <w:rFonts w:eastAsiaTheme="minorEastAsia"/>
        </w:rPr>
        <w:t>,</w:t>
      </w:r>
      <w:r w:rsidR="008F4C1E" w:rsidRPr="008F4C1E">
        <w:rPr>
          <w:rFonts w:eastAsiaTheme="minorEastAsia"/>
        </w:rPr>
        <w:t xml:space="preserve"> getting two contra-propagating beams of energies up to 10 GeV (each) and study, for example, Compton scattering of FEL photons on the 10 GeV electrons</w:t>
      </w:r>
      <w:r w:rsidR="00370553">
        <w:rPr>
          <w:rFonts w:eastAsiaTheme="minorEastAsia"/>
        </w:rPr>
        <w:t xml:space="preserve"> or </w:t>
      </w:r>
      <w:proofErr w:type="spellStart"/>
      <w:r w:rsidR="00370553" w:rsidRPr="00370553">
        <w:rPr>
          <w:rFonts w:eastAsiaTheme="minorEastAsia"/>
        </w:rPr>
        <w:t>γγ</w:t>
      </w:r>
      <w:proofErr w:type="spellEnd"/>
      <w:r w:rsidR="00370553">
        <w:rPr>
          <w:rFonts w:eastAsiaTheme="minorEastAsia"/>
        </w:rPr>
        <w:t>-collisions</w:t>
      </w:r>
      <w:r w:rsidR="008F4C1E" w:rsidRPr="008F4C1E">
        <w:rPr>
          <w:rFonts w:eastAsiaTheme="minorEastAsia"/>
        </w:rPr>
        <w:t>. The FEL-stations w</w:t>
      </w:r>
      <w:r w:rsidR="00370553">
        <w:rPr>
          <w:rFonts w:eastAsiaTheme="minorEastAsia"/>
        </w:rPr>
        <w:t>ill</w:t>
      </w:r>
      <w:r w:rsidR="008F4C1E" w:rsidRPr="008F4C1E">
        <w:rPr>
          <w:rFonts w:eastAsiaTheme="minorEastAsia"/>
        </w:rPr>
        <w:t xml:space="preserve"> maximise the efficiency</w:t>
      </w:r>
      <w:r w:rsidR="00AE4ED9">
        <w:rPr>
          <w:rFonts w:eastAsiaTheme="minorEastAsia"/>
        </w:rPr>
        <w:t>,</w:t>
      </w:r>
      <w:r w:rsidR="008F4C1E" w:rsidRPr="008F4C1E">
        <w:rPr>
          <w:rFonts w:eastAsiaTheme="minorEastAsia"/>
        </w:rPr>
        <w:t xml:space="preserve"> social </w:t>
      </w:r>
      <w:proofErr w:type="gramStart"/>
      <w:r w:rsidR="008F4C1E" w:rsidRPr="008F4C1E">
        <w:rPr>
          <w:rFonts w:eastAsiaTheme="minorEastAsia"/>
        </w:rPr>
        <w:t>impact</w:t>
      </w:r>
      <w:proofErr w:type="gramEnd"/>
      <w:r w:rsidR="008F4C1E" w:rsidRPr="008F4C1E">
        <w:rPr>
          <w:rFonts w:eastAsiaTheme="minorEastAsia"/>
        </w:rPr>
        <w:t xml:space="preserve"> </w:t>
      </w:r>
      <w:r w:rsidR="00AE4ED9">
        <w:rPr>
          <w:rFonts w:eastAsiaTheme="minorEastAsia"/>
        </w:rPr>
        <w:t xml:space="preserve">and acceptance </w:t>
      </w:r>
      <w:r w:rsidR="008F4C1E" w:rsidRPr="008F4C1E">
        <w:rPr>
          <w:rFonts w:eastAsiaTheme="minorEastAsia"/>
        </w:rPr>
        <w:t>of the whole facility.</w:t>
      </w:r>
    </w:p>
    <w:p w14:paraId="10CDECBD" w14:textId="109D6906" w:rsidR="00A066F0" w:rsidRDefault="00370553" w:rsidP="00226507">
      <w:pPr>
        <w:spacing w:after="100"/>
        <w:jc w:val="both"/>
        <w:rPr>
          <w:rFonts w:eastAsiaTheme="minorEastAsia"/>
        </w:rPr>
      </w:pPr>
      <w:r>
        <w:rPr>
          <w:noProof/>
          <w:kern w:val="16"/>
        </w:rPr>
        <w:lastRenderedPageBreak/>
        <mc:AlternateContent>
          <mc:Choice Requires="wps">
            <w:drawing>
              <wp:anchor distT="0" distB="0" distL="114300" distR="114300" simplePos="0" relativeHeight="251688448" behindDoc="0" locked="0" layoutInCell="1" allowOverlap="1" wp14:anchorId="1C503259" wp14:editId="33A76ADB">
                <wp:simplePos x="0" y="0"/>
                <wp:positionH relativeFrom="column">
                  <wp:posOffset>57150</wp:posOffset>
                </wp:positionH>
                <wp:positionV relativeFrom="paragraph">
                  <wp:posOffset>2787650</wp:posOffset>
                </wp:positionV>
                <wp:extent cx="371475" cy="295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371475" cy="295275"/>
                        </a:xfrm>
                        <a:prstGeom prst="rect">
                          <a:avLst/>
                        </a:prstGeom>
                        <a:noFill/>
                        <a:ln w="6350">
                          <a:noFill/>
                        </a:ln>
                      </wps:spPr>
                      <wps:txbx>
                        <w:txbxContent>
                          <w:p w14:paraId="0E458EB1" w14:textId="0DF458AE" w:rsidR="00370553" w:rsidRPr="004D143A" w:rsidRDefault="00370553" w:rsidP="00370553">
                            <w:pPr>
                              <w:rPr>
                                <w:b/>
                                <w:bCs/>
                              </w:rPr>
                            </w:pPr>
                            <w:r w:rsidRPr="004D143A">
                              <w:rPr>
                                <w:b/>
                                <w:bCs/>
                              </w:rPr>
                              <w:t>(</w:t>
                            </w:r>
                            <w:r>
                              <w:rPr>
                                <w:b/>
                                <w:bCs/>
                              </w:rPr>
                              <w:t>b</w:t>
                            </w:r>
                            <w:r w:rsidRPr="004D143A">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503259" id="Text Box 2" o:spid="_x0000_s1033" type="#_x0000_t202" style="position:absolute;left:0;text-align:left;margin-left:4.5pt;margin-top:219.5pt;width:29.25pt;height:23.25pt;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" filled="f" stroked="f" strokeweight=".5pt">
                <v:textbox>
                  <w:txbxContent>
                    <w:p w14:paraId="0E458EB1" w14:textId="0DF458AE" w:rsidR="00370553" w:rsidRPr="004D143A" w:rsidRDefault="00370553" w:rsidP="00370553">
                      <w:pPr>
                        <w:rPr>
                          <w:b/>
                          <w:bCs/>
                        </w:rPr>
                      </w:pPr>
                      <w:r w:rsidRPr="004D143A">
                        <w:rPr>
                          <w:b/>
                          <w:bCs/>
                        </w:rPr>
                        <w:t>(</w:t>
                      </w:r>
                      <w:r>
                        <w:rPr>
                          <w:b/>
                          <w:bCs/>
                        </w:rPr>
                        <w:t>b</w:t>
                      </w:r>
                      <w:r w:rsidRPr="004D143A">
                        <w:rPr>
                          <w:b/>
                          <w:bCs/>
                        </w:rPr>
                        <w:t>)</w:t>
                      </w:r>
                    </w:p>
                  </w:txbxContent>
                </v:textbox>
              </v:shape>
            </w:pict>
          </mc:Fallback>
        </mc:AlternateContent>
      </w:r>
      <w:r>
        <w:rPr>
          <w:noProof/>
          <w:kern w:val="16"/>
        </w:rPr>
        <mc:AlternateContent>
          <mc:Choice Requires="wps">
            <w:drawing>
              <wp:anchor distT="0" distB="0" distL="114300" distR="114300" simplePos="0" relativeHeight="251686400" behindDoc="0" locked="0" layoutInCell="1" allowOverlap="1" wp14:anchorId="5FAE69CD" wp14:editId="2A6AB9DF">
                <wp:simplePos x="0" y="0"/>
                <wp:positionH relativeFrom="column">
                  <wp:posOffset>19050</wp:posOffset>
                </wp:positionH>
                <wp:positionV relativeFrom="paragraph">
                  <wp:posOffset>3175</wp:posOffset>
                </wp:positionV>
                <wp:extent cx="371475" cy="295275"/>
                <wp:effectExtent l="0" t="0" r="0" b="0"/>
                <wp:wrapNone/>
                <wp:docPr id="1" name="Text Box 1"/>
                <wp:cNvGraphicFramePr/>
                <a:graphic xmlns:a="http://schemas.openxmlformats.org/drawingml/2006/main">
                  <a:graphicData uri="http://schemas.microsoft.com/office/word/2010/wordprocessingShape">
                    <wps:wsp>
                      <wps:cNvSpPr txBox="1"/>
                      <wps:spPr>
                        <a:xfrm>
                          <a:off x="0" y="0"/>
                          <a:ext cx="371475" cy="295275"/>
                        </a:xfrm>
                        <a:prstGeom prst="rect">
                          <a:avLst/>
                        </a:prstGeom>
                        <a:noFill/>
                        <a:ln w="6350">
                          <a:noFill/>
                        </a:ln>
                      </wps:spPr>
                      <wps:txbx>
                        <w:txbxContent>
                          <w:p w14:paraId="6EB1C678" w14:textId="77777777" w:rsidR="00370553" w:rsidRPr="004D143A" w:rsidRDefault="00370553" w:rsidP="00370553">
                            <w:pPr>
                              <w:rPr>
                                <w:b/>
                                <w:bCs/>
                              </w:rPr>
                            </w:pPr>
                            <w:r w:rsidRPr="004D143A">
                              <w:rPr>
                                <w:b/>
                                <w:bCs/>
                              </w:rPr>
                              <w:t>(</w:t>
                            </w:r>
                            <w:r>
                              <w:rPr>
                                <w:b/>
                                <w:bCs/>
                              </w:rPr>
                              <w:t>a</w:t>
                            </w:r>
                            <w:r w:rsidRPr="004D143A">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AE69CD" id="Text Box 1" o:spid="_x0000_s1034" type="#_x0000_t202" style="position:absolute;left:0;text-align:left;margin-left:1.5pt;margin-top:.25pt;width:29.25pt;height:23.25p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" filled="f" stroked="f" strokeweight=".5pt">
                <v:textbox>
                  <w:txbxContent>
                    <w:p w14:paraId="6EB1C678" w14:textId="77777777" w:rsidR="00370553" w:rsidRPr="004D143A" w:rsidRDefault="00370553" w:rsidP="00370553">
                      <w:pPr>
                        <w:rPr>
                          <w:b/>
                          <w:bCs/>
                        </w:rPr>
                      </w:pPr>
                      <w:r w:rsidRPr="004D143A">
                        <w:rPr>
                          <w:b/>
                          <w:bCs/>
                        </w:rPr>
                        <w:t>(</w:t>
                      </w:r>
                      <w:r>
                        <w:rPr>
                          <w:b/>
                          <w:bCs/>
                        </w:rPr>
                        <w:t>a</w:t>
                      </w:r>
                      <w:r w:rsidRPr="004D143A">
                        <w:rPr>
                          <w:b/>
                          <w:bCs/>
                        </w:rPr>
                        <w:t>)</w:t>
                      </w:r>
                    </w:p>
                  </w:txbxContent>
                </v:textbox>
              </v:shape>
            </w:pict>
          </mc:Fallback>
        </mc:AlternateContent>
      </w:r>
      <w:r w:rsidR="00AE4ED9" w:rsidRPr="00AE4ED9">
        <w:rPr>
          <w:rFonts w:eastAsiaTheme="minorEastAsia"/>
          <w:noProof/>
        </w:rPr>
        <w:drawing>
          <wp:inline distT="0" distB="0" distL="0" distR="0" wp14:anchorId="4A80B7E4" wp14:editId="66CD76A3">
            <wp:extent cx="2828710" cy="3009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7235" cy="3018971"/>
                    </a:xfrm>
                    <a:prstGeom prst="rect">
                      <a:avLst/>
                    </a:prstGeom>
                    <a:noFill/>
                    <a:ln>
                      <a:noFill/>
                    </a:ln>
                  </pic:spPr>
                </pic:pic>
              </a:graphicData>
            </a:graphic>
          </wp:inline>
        </w:drawing>
      </w:r>
    </w:p>
    <w:p w14:paraId="219458C7" w14:textId="49137844" w:rsidR="00603D2F" w:rsidRDefault="00AE4ED9" w:rsidP="00226507">
      <w:pPr>
        <w:spacing w:after="100"/>
        <w:jc w:val="both"/>
        <w:rPr>
          <w:rFonts w:eastAsiaTheme="minorEastAsia"/>
        </w:rPr>
      </w:pPr>
      <w:r w:rsidRPr="00AE4ED9">
        <w:rPr>
          <w:rFonts w:eastAsiaTheme="minorEastAsia"/>
          <w:noProof/>
        </w:rPr>
        <w:drawing>
          <wp:inline distT="0" distB="0" distL="0" distR="0" wp14:anchorId="03504B1C" wp14:editId="15908CC9">
            <wp:extent cx="2968625" cy="1116330"/>
            <wp:effectExtent l="0" t="0" r="317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8625" cy="1116330"/>
                    </a:xfrm>
                    <a:prstGeom prst="rect">
                      <a:avLst/>
                    </a:prstGeom>
                    <a:noFill/>
                    <a:ln>
                      <a:noFill/>
                    </a:ln>
                  </pic:spPr>
                </pic:pic>
              </a:graphicData>
            </a:graphic>
          </wp:inline>
        </w:drawing>
      </w:r>
    </w:p>
    <w:p w14:paraId="132D39E4" w14:textId="5630C1D6" w:rsidR="00C36C20" w:rsidRDefault="00C36C20" w:rsidP="00226507">
      <w:pPr>
        <w:spacing w:after="100"/>
        <w:jc w:val="both"/>
        <w:rPr>
          <w:rFonts w:eastAsiaTheme="minorEastAsia"/>
        </w:rPr>
      </w:pPr>
      <w:r w:rsidRPr="00C36C20">
        <w:rPr>
          <w:rFonts w:eastAsiaTheme="minorEastAsia"/>
        </w:rPr>
        <w:t xml:space="preserve">Figure </w:t>
      </w:r>
      <w:r w:rsidR="00252C44">
        <w:rPr>
          <w:rFonts w:eastAsiaTheme="minorEastAsia"/>
        </w:rPr>
        <w:t>5</w:t>
      </w:r>
      <w:r w:rsidRPr="00C36C20">
        <w:rPr>
          <w:rFonts w:eastAsiaTheme="minorEastAsia"/>
        </w:rPr>
        <w:t>. (a) Schematic of the intermediate energy (1 GeV), large (2 km) diameter, weekly radiating (below 1kW) storage ring indicati</w:t>
      </w:r>
      <w:r w:rsidR="00252C44">
        <w:rPr>
          <w:rFonts w:eastAsiaTheme="minorEastAsia"/>
        </w:rPr>
        <w:t>ng</w:t>
      </w:r>
      <w:r w:rsidRPr="00C36C20">
        <w:rPr>
          <w:rFonts w:eastAsiaTheme="minorEastAsia"/>
        </w:rPr>
        <w:t xml:space="preserve"> the FEL stations for photon production; (b</w:t>
      </w:r>
      <w:r w:rsidR="00252C44">
        <w:rPr>
          <w:rFonts w:eastAsiaTheme="minorEastAsia"/>
        </w:rPr>
        <w:t>)</w:t>
      </w:r>
      <w:r w:rsidRPr="00C36C20">
        <w:rPr>
          <w:rFonts w:eastAsiaTheme="minorEastAsia"/>
        </w:rPr>
        <w:t xml:space="preserve"> an example of the FEL station with dog-bone beam line for the beam energy recovery.  </w:t>
      </w:r>
    </w:p>
    <w:p w14:paraId="57273992" w14:textId="27D22DE0" w:rsidR="00603D2F" w:rsidRDefault="00AE4ED9" w:rsidP="00226507">
      <w:pPr>
        <w:spacing w:after="100"/>
        <w:jc w:val="both"/>
        <w:rPr>
          <w:rFonts w:eastAsiaTheme="minorEastAsia"/>
        </w:rPr>
      </w:pPr>
      <w:r w:rsidRPr="00AE4ED9">
        <w:rPr>
          <w:rFonts w:ascii="Times New Roman" w:hAnsi="Times New Roman"/>
          <w:sz w:val="24"/>
        </w:rPr>
        <w:t xml:space="preserve">LINEAR ENERGY RECOVERY COLLIDER </w:t>
      </w:r>
    </w:p>
    <w:p w14:paraId="020BDA31" w14:textId="4F79D998" w:rsidR="00AE4ED9" w:rsidRDefault="00AE4ED9" w:rsidP="00AE4ED9">
      <w:pPr>
        <w:autoSpaceDE w:val="0"/>
        <w:autoSpaceDN w:val="0"/>
        <w:adjustRightInd w:val="0"/>
        <w:spacing w:after="100"/>
        <w:jc w:val="both"/>
        <w:rPr>
          <w:rFonts w:eastAsiaTheme="minorEastAsia"/>
        </w:rPr>
      </w:pPr>
      <w:r w:rsidRPr="00D01483">
        <w:rPr>
          <w:rFonts w:eastAsiaTheme="minorEastAsia"/>
        </w:rPr>
        <w:t>To boost the beam energy</w:t>
      </w:r>
      <w:r>
        <w:rPr>
          <w:rFonts w:eastAsiaTheme="minorEastAsia"/>
        </w:rPr>
        <w:t xml:space="preserve">, </w:t>
      </w:r>
      <w:r w:rsidRPr="00D01483">
        <w:rPr>
          <w:rFonts w:eastAsiaTheme="minorEastAsia"/>
        </w:rPr>
        <w:t>the beams are injected from the storage rings into the linear accelerators with energy recovery capabilities. The beams are accelerated from the initial energy 1</w:t>
      </w:r>
      <w:r>
        <w:rPr>
          <w:rFonts w:eastAsiaTheme="minorEastAsia"/>
        </w:rPr>
        <w:t xml:space="preserve"> GeV</w:t>
      </w:r>
      <w:r w:rsidRPr="00D01483">
        <w:rPr>
          <w:rFonts w:eastAsiaTheme="minorEastAsia"/>
        </w:rPr>
        <w:t xml:space="preserve">, up to the required energy, </w:t>
      </w:r>
      <w:proofErr w:type="spellStart"/>
      <w:r w:rsidRPr="006B1D16">
        <w:rPr>
          <w:rFonts w:ascii="Times New Roman" w:eastAsiaTheme="minorEastAsia" w:hAnsi="Times New Roman"/>
          <w:i/>
          <w:iCs/>
        </w:rPr>
        <w:t>W</w:t>
      </w:r>
      <w:r w:rsidRPr="006B1D16">
        <w:rPr>
          <w:rFonts w:ascii="Times New Roman" w:eastAsiaTheme="minorEastAsia" w:hAnsi="Times New Roman"/>
          <w:i/>
          <w:iCs/>
          <w:vertAlign w:val="subscript"/>
        </w:rPr>
        <w:t>f</w:t>
      </w:r>
      <w:r w:rsidRPr="006B1D16">
        <w:rPr>
          <w:rFonts w:ascii="Times New Roman" w:eastAsiaTheme="minorEastAsia" w:hAnsi="Times New Roman"/>
          <w:i/>
          <w:iCs/>
        </w:rPr>
        <w:t>,</w:t>
      </w:r>
      <w:r w:rsidRPr="006B1D16">
        <w:rPr>
          <w:rFonts w:ascii="Times New Roman" w:eastAsiaTheme="minorEastAsia" w:hAnsi="Times New Roman"/>
          <w:i/>
          <w:iCs/>
          <w:vertAlign w:val="subscript"/>
        </w:rPr>
        <w:t>i</w:t>
      </w:r>
      <w:proofErr w:type="spellEnd"/>
      <w:r w:rsidRPr="00D01483">
        <w:rPr>
          <w:rFonts w:eastAsiaTheme="minorEastAsia"/>
        </w:rPr>
        <w:t>. After the interaction point, which is cross</w:t>
      </w:r>
      <w:r>
        <w:rPr>
          <w:rFonts w:eastAsiaTheme="minorEastAsia"/>
        </w:rPr>
        <w:t>ing</w:t>
      </w:r>
      <w:r w:rsidRPr="00D01483">
        <w:rPr>
          <w:rFonts w:eastAsiaTheme="minorEastAsia"/>
        </w:rPr>
        <w:t xml:space="preserve"> point </w:t>
      </w:r>
      <w:r>
        <w:rPr>
          <w:rFonts w:eastAsiaTheme="minorEastAsia"/>
        </w:rPr>
        <w:t>like</w:t>
      </w:r>
      <w:r w:rsidRPr="00D01483">
        <w:rPr>
          <w:rFonts w:eastAsiaTheme="minorEastAsia"/>
        </w:rPr>
        <w:t xml:space="preserve"> ILC</w:t>
      </w:r>
      <w:r>
        <w:rPr>
          <w:rFonts w:eastAsiaTheme="minorEastAsia"/>
        </w:rPr>
        <w:t>,</w:t>
      </w:r>
      <w:r w:rsidRPr="00D01483">
        <w:rPr>
          <w:rFonts w:eastAsiaTheme="minorEastAsia"/>
        </w:rPr>
        <w:t xml:space="preserve"> and can be supported by similar optics as designed for the ILC, both beams are directed and transported through the decelerating arms of the dual-axis structures</w:t>
      </w:r>
      <w:r>
        <w:rPr>
          <w:rFonts w:eastAsiaTheme="minorEastAsia"/>
        </w:rPr>
        <w:t>,</w:t>
      </w:r>
      <w:r w:rsidRPr="00D01483">
        <w:rPr>
          <w:rFonts w:eastAsiaTheme="minorEastAsia"/>
        </w:rPr>
        <w:t xml:space="preserve"> reducing the beam energies to 1</w:t>
      </w:r>
      <w:r>
        <w:rPr>
          <w:rFonts w:eastAsiaTheme="minorEastAsia"/>
        </w:rPr>
        <w:t xml:space="preserve"> GeV</w:t>
      </w:r>
      <w:r w:rsidRPr="00D01483">
        <w:rPr>
          <w:rFonts w:eastAsiaTheme="minorEastAsia"/>
        </w:rPr>
        <w:t xml:space="preserve">. </w:t>
      </w:r>
      <w:r>
        <w:rPr>
          <w:rFonts w:eastAsiaTheme="minorEastAsia"/>
        </w:rPr>
        <w:t xml:space="preserve">Using the configuration </w:t>
      </w:r>
      <w:proofErr w:type="gramStart"/>
      <w:r>
        <w:rPr>
          <w:rFonts w:eastAsiaTheme="minorEastAsia"/>
        </w:rPr>
        <w:t>described,</w:t>
      </w:r>
      <w:proofErr w:type="gramEnd"/>
      <w:r>
        <w:rPr>
          <w:rFonts w:eastAsiaTheme="minorEastAsia"/>
        </w:rPr>
        <w:t xml:space="preserve"> the repetition rate of the bunches in LER-C is limited by the bunch repetition rate observed for non-emitting </w:t>
      </w:r>
      <w:proofErr w:type="spellStart"/>
      <w:r>
        <w:rPr>
          <w:rFonts w:eastAsiaTheme="minorEastAsia"/>
        </w:rPr>
        <w:t>StRg</w:t>
      </w:r>
      <w:proofErr w:type="spellEnd"/>
      <w:r>
        <w:rPr>
          <w:rFonts w:eastAsiaTheme="minorEastAsia"/>
        </w:rPr>
        <w:t xml:space="preserve">. allowing to assume that the collider will be able to operate at high-repletion rate (like FCC). </w:t>
      </w:r>
      <w:r w:rsidR="000D6325">
        <w:rPr>
          <w:rFonts w:eastAsiaTheme="minorEastAsia"/>
        </w:rPr>
        <w:t>As t</w:t>
      </w:r>
      <w:r>
        <w:rPr>
          <w:rFonts w:eastAsiaTheme="minorEastAsia"/>
        </w:rPr>
        <w:t xml:space="preserve">he bunches will be injected into </w:t>
      </w:r>
      <w:r w:rsidR="000D6325">
        <w:rPr>
          <w:rFonts w:eastAsiaTheme="minorEastAsia"/>
        </w:rPr>
        <w:t xml:space="preserve">the rings </w:t>
      </w:r>
      <w:r>
        <w:rPr>
          <w:rFonts w:eastAsiaTheme="minorEastAsia"/>
        </w:rPr>
        <w:t xml:space="preserve">by RERS (operating like PERLE in CW regime) </w:t>
      </w:r>
      <w:r w:rsidR="000D6325">
        <w:rPr>
          <w:rFonts w:eastAsiaTheme="minorEastAsia"/>
        </w:rPr>
        <w:t>one may also consider t</w:t>
      </w:r>
      <w:r>
        <w:rPr>
          <w:rFonts w:eastAsiaTheme="minorEastAsia"/>
        </w:rPr>
        <w:t xml:space="preserve">hat in some configurations </w:t>
      </w:r>
      <w:r w:rsidR="000D6325">
        <w:rPr>
          <w:rFonts w:eastAsiaTheme="minorEastAsia"/>
        </w:rPr>
        <w:t>the collider</w:t>
      </w:r>
      <w:r>
        <w:rPr>
          <w:rFonts w:eastAsiaTheme="minorEastAsia"/>
        </w:rPr>
        <w:t xml:space="preserve"> </w:t>
      </w:r>
      <w:r w:rsidR="000D6325">
        <w:rPr>
          <w:rFonts w:eastAsiaTheme="minorEastAsia"/>
        </w:rPr>
        <w:t>will</w:t>
      </w:r>
      <w:r>
        <w:rPr>
          <w:rFonts w:eastAsiaTheme="minorEastAsia"/>
        </w:rPr>
        <w:t xml:space="preserve"> operate in CW regime as well. </w:t>
      </w:r>
    </w:p>
    <w:p w14:paraId="6C3BDEB9" w14:textId="0AFB46BF" w:rsidR="00AE4ED9" w:rsidRDefault="000D6325" w:rsidP="00000AE9">
      <w:pPr>
        <w:autoSpaceDE w:val="0"/>
        <w:autoSpaceDN w:val="0"/>
        <w:adjustRightInd w:val="0"/>
        <w:jc w:val="both"/>
        <w:rPr>
          <w:rFonts w:eastAsiaTheme="minorEastAsia"/>
        </w:rPr>
      </w:pPr>
      <w:r>
        <w:rPr>
          <w:rFonts w:eastAsiaTheme="minorEastAsia"/>
        </w:rPr>
        <w:t>To start, we suggest following t</w:t>
      </w:r>
      <w:r w:rsidRPr="00904CE1">
        <w:rPr>
          <w:rFonts w:eastAsiaTheme="minorEastAsia"/>
        </w:rPr>
        <w:t xml:space="preserve">he </w:t>
      </w:r>
      <w:r>
        <w:rPr>
          <w:rFonts w:eastAsiaTheme="minorEastAsia"/>
        </w:rPr>
        <w:t>general</w:t>
      </w:r>
      <w:r w:rsidRPr="00904CE1">
        <w:rPr>
          <w:rFonts w:eastAsiaTheme="minorEastAsia"/>
        </w:rPr>
        <w:t xml:space="preserve"> system design chosen </w:t>
      </w:r>
      <w:r>
        <w:rPr>
          <w:rFonts w:eastAsiaTheme="minorEastAsia"/>
        </w:rPr>
        <w:t>for ILC [1,</w:t>
      </w:r>
      <w:r w:rsidR="00F1727D">
        <w:rPr>
          <w:rFonts w:eastAsiaTheme="minorEastAsia"/>
        </w:rPr>
        <w:t>4</w:t>
      </w:r>
      <w:r>
        <w:rPr>
          <w:rFonts w:eastAsiaTheme="minorEastAsia"/>
        </w:rPr>
        <w:t xml:space="preserve">]. </w:t>
      </w:r>
      <w:r w:rsidR="00AE4ED9">
        <w:rPr>
          <w:rFonts w:eastAsiaTheme="minorEastAsia"/>
        </w:rPr>
        <w:t xml:space="preserve">The </w:t>
      </w:r>
      <w:r>
        <w:rPr>
          <w:rFonts w:eastAsiaTheme="minorEastAsia"/>
        </w:rPr>
        <w:t>collider’s</w:t>
      </w:r>
      <w:r w:rsidR="00AE4ED9">
        <w:rPr>
          <w:rFonts w:eastAsiaTheme="minorEastAsia"/>
        </w:rPr>
        <w:t xml:space="preserve"> left and right</w:t>
      </w:r>
      <w:r>
        <w:rPr>
          <w:rFonts w:eastAsiaTheme="minorEastAsia"/>
        </w:rPr>
        <w:t xml:space="preserve"> arms are</w:t>
      </w:r>
      <w:r w:rsidR="00AE4ED9">
        <w:rPr>
          <w:rFonts w:eastAsiaTheme="minorEastAsia"/>
        </w:rPr>
        <w:t xml:space="preserve"> 10 km</w:t>
      </w:r>
      <w:r w:rsidR="00AE4ED9" w:rsidRPr="00904CE1">
        <w:rPr>
          <w:rFonts w:eastAsiaTheme="minorEastAsia"/>
        </w:rPr>
        <w:t xml:space="preserve"> long </w:t>
      </w:r>
      <w:r w:rsidR="00AE4ED9">
        <w:rPr>
          <w:rFonts w:eastAsiaTheme="minorEastAsia"/>
        </w:rPr>
        <w:t>energy recovery</w:t>
      </w:r>
      <w:r w:rsidR="00AE4ED9" w:rsidRPr="00904CE1">
        <w:rPr>
          <w:rFonts w:eastAsiaTheme="minorEastAsia"/>
        </w:rPr>
        <w:t xml:space="preserve"> </w:t>
      </w:r>
      <w:proofErr w:type="spellStart"/>
      <w:r w:rsidR="00AE4ED9" w:rsidRPr="00904CE1">
        <w:rPr>
          <w:rFonts w:eastAsiaTheme="minorEastAsia"/>
        </w:rPr>
        <w:t>linacs</w:t>
      </w:r>
      <w:proofErr w:type="spellEnd"/>
      <w:r w:rsidR="00AE4ED9">
        <w:rPr>
          <w:rFonts w:eastAsiaTheme="minorEastAsia"/>
        </w:rPr>
        <w:t xml:space="preserve"> </w:t>
      </w:r>
      <w:r>
        <w:rPr>
          <w:rFonts w:eastAsiaTheme="minorEastAsia"/>
        </w:rPr>
        <w:t>based on</w:t>
      </w:r>
      <w:r w:rsidR="00AE4ED9">
        <w:rPr>
          <w:rFonts w:eastAsiaTheme="minorEastAsia"/>
        </w:rPr>
        <w:t xml:space="preserve"> dual-axis asymmetric 1.3 GHz S</w:t>
      </w:r>
      <w:r w:rsidR="00AE4ED9" w:rsidRPr="00904CE1">
        <w:rPr>
          <w:rFonts w:eastAsiaTheme="minorEastAsia"/>
        </w:rPr>
        <w:t>RF cavities</w:t>
      </w:r>
      <w:r w:rsidR="00AE4ED9">
        <w:rPr>
          <w:rFonts w:eastAsiaTheme="minorEastAsia"/>
        </w:rPr>
        <w:t xml:space="preserve"> </w:t>
      </w:r>
      <w:r>
        <w:rPr>
          <w:rFonts w:eastAsiaTheme="minorEastAsia"/>
        </w:rPr>
        <w:t xml:space="preserve">which </w:t>
      </w:r>
      <w:r w:rsidR="00000AE9" w:rsidRPr="00904CE1">
        <w:rPr>
          <w:rFonts w:eastAsiaTheme="minorEastAsia"/>
        </w:rPr>
        <w:t>operate</w:t>
      </w:r>
      <w:r w:rsidR="00AE4ED9">
        <w:rPr>
          <w:rFonts w:eastAsiaTheme="minorEastAsia"/>
        </w:rPr>
        <w:t xml:space="preserve"> at an average gradient of </w:t>
      </w:r>
      <w:r>
        <w:rPr>
          <w:rFonts w:eastAsiaTheme="minorEastAsia"/>
        </w:rPr>
        <w:t>around</w:t>
      </w:r>
      <w:r w:rsidR="00AE4ED9">
        <w:rPr>
          <w:rFonts w:eastAsiaTheme="minorEastAsia"/>
        </w:rPr>
        <w:t xml:space="preserve"> 25 MV/m.</w:t>
      </w:r>
      <w:r w:rsidR="00AE4ED9" w:rsidRPr="00904CE1">
        <w:rPr>
          <w:rFonts w:eastAsiaTheme="minorEastAsia"/>
        </w:rPr>
        <w:t xml:space="preserve"> </w:t>
      </w:r>
      <w:proofErr w:type="gramStart"/>
      <w:r w:rsidR="00AE4ED9">
        <w:rPr>
          <w:rFonts w:eastAsiaTheme="minorEastAsia"/>
        </w:rPr>
        <w:t>Similar to</w:t>
      </w:r>
      <w:proofErr w:type="gramEnd"/>
      <w:r w:rsidR="00AE4ED9">
        <w:rPr>
          <w:rFonts w:eastAsiaTheme="minorEastAsia"/>
        </w:rPr>
        <w:t xml:space="preserve"> ILC, a </w:t>
      </w:r>
      <w:r w:rsidR="00AE4ED9" w:rsidRPr="00904CE1">
        <w:rPr>
          <w:rFonts w:eastAsiaTheme="minorEastAsia"/>
        </w:rPr>
        <w:t>4.5</w:t>
      </w:r>
      <w:r w:rsidR="00AE4ED9">
        <w:rPr>
          <w:rFonts w:eastAsiaTheme="minorEastAsia"/>
        </w:rPr>
        <w:t xml:space="preserve"> km</w:t>
      </w:r>
      <w:r w:rsidR="00AE4ED9" w:rsidRPr="00904CE1">
        <w:rPr>
          <w:rFonts w:eastAsiaTheme="minorEastAsia"/>
        </w:rPr>
        <w:t xml:space="preserve"> long beam delivery system</w:t>
      </w:r>
      <w:r w:rsidR="00AE4ED9">
        <w:rPr>
          <w:rFonts w:eastAsiaTheme="minorEastAsia"/>
        </w:rPr>
        <w:t xml:space="preserve"> can be used to</w:t>
      </w:r>
      <w:r w:rsidR="00AE4ED9" w:rsidRPr="00904CE1">
        <w:rPr>
          <w:rFonts w:eastAsiaTheme="minorEastAsia"/>
        </w:rPr>
        <w:t xml:space="preserve"> bring the two </w:t>
      </w:r>
      <w:r w:rsidR="00AE4ED9" w:rsidRPr="00904CE1">
        <w:rPr>
          <w:rFonts w:eastAsiaTheme="minorEastAsia"/>
        </w:rPr>
        <w:t>beams into collision with</w:t>
      </w:r>
      <w:r w:rsidR="00AE4ED9">
        <w:rPr>
          <w:rFonts w:eastAsiaTheme="minorEastAsia"/>
        </w:rPr>
        <w:t xml:space="preserve"> </w:t>
      </w:r>
      <w:r w:rsidR="00AE4ED9" w:rsidRPr="00904CE1">
        <w:rPr>
          <w:rFonts w:eastAsiaTheme="minorEastAsia"/>
        </w:rPr>
        <w:t xml:space="preserve">a 14 </w:t>
      </w:r>
      <w:proofErr w:type="spellStart"/>
      <w:r w:rsidR="00AE4ED9" w:rsidRPr="00904CE1">
        <w:rPr>
          <w:rFonts w:eastAsiaTheme="minorEastAsia"/>
        </w:rPr>
        <w:t>mrad</w:t>
      </w:r>
      <w:proofErr w:type="spellEnd"/>
      <w:r w:rsidR="00AE4ED9" w:rsidRPr="00904CE1">
        <w:rPr>
          <w:rFonts w:eastAsiaTheme="minorEastAsia"/>
        </w:rPr>
        <w:t xml:space="preserve"> crossing angle, at a single interaction point</w:t>
      </w:r>
      <w:r w:rsidR="00AE4ED9">
        <w:rPr>
          <w:rFonts w:eastAsiaTheme="minorEastAsia"/>
        </w:rPr>
        <w:t xml:space="preserve">. After the collision, the particles will undergo the deceleration to 1 GeV, and </w:t>
      </w:r>
      <w:r w:rsidR="00000AE9">
        <w:rPr>
          <w:rFonts w:eastAsiaTheme="minorEastAsia"/>
        </w:rPr>
        <w:t xml:space="preserve">then </w:t>
      </w:r>
      <w:r w:rsidR="00AE4ED9">
        <w:rPr>
          <w:rFonts w:eastAsiaTheme="minorEastAsia"/>
        </w:rPr>
        <w:t>re-injected into the storage ring for re-use. It is possible that further upgrades can be achieved by either increasing the accelerating gradient of accelerating structures, while maintaining the same length of the tunnel or increasing the length of the tunnel</w:t>
      </w:r>
      <w:r w:rsidR="00000AE9">
        <w:rPr>
          <w:rFonts w:eastAsiaTheme="minorEastAsia"/>
        </w:rPr>
        <w:t>.</w:t>
      </w:r>
      <w:r w:rsidR="00AE4ED9">
        <w:rPr>
          <w:rFonts w:eastAsiaTheme="minorEastAsia"/>
        </w:rPr>
        <w:t xml:space="preserve"> An alternative of such “straight forward” approach is adding “dog-bone” arcs</w:t>
      </w:r>
      <w:r>
        <w:rPr>
          <w:rFonts w:eastAsiaTheme="minorEastAsia"/>
        </w:rPr>
        <w:t xml:space="preserve"> [</w:t>
      </w:r>
      <w:r w:rsidR="00570E16">
        <w:rPr>
          <w:rFonts w:eastAsiaTheme="minorEastAsia"/>
        </w:rPr>
        <w:t>23</w:t>
      </w:r>
      <w:r w:rsidR="00F1727D">
        <w:rPr>
          <w:rFonts w:eastAsiaTheme="minorEastAsia"/>
        </w:rPr>
        <w:t>,24</w:t>
      </w:r>
      <w:r>
        <w:rPr>
          <w:rFonts w:eastAsiaTheme="minorEastAsia"/>
        </w:rPr>
        <w:t>]</w:t>
      </w:r>
      <w:r w:rsidR="00AE4ED9">
        <w:rPr>
          <w:rFonts w:eastAsiaTheme="minorEastAsia"/>
        </w:rPr>
        <w:t>, as discussed in [</w:t>
      </w:r>
      <w:r w:rsidR="00570E16">
        <w:rPr>
          <w:rFonts w:eastAsiaTheme="minorEastAsia"/>
        </w:rPr>
        <w:t>6</w:t>
      </w:r>
      <w:r w:rsidR="00AE4ED9">
        <w:rPr>
          <w:rFonts w:eastAsiaTheme="minorEastAsia"/>
        </w:rPr>
        <w:t xml:space="preserve">]. </w:t>
      </w:r>
      <w:r w:rsidR="00570E16">
        <w:rPr>
          <w:rFonts w:eastAsiaTheme="minorEastAsia"/>
        </w:rPr>
        <w:t>T</w:t>
      </w:r>
      <w:r w:rsidR="00AE4ED9">
        <w:rPr>
          <w:rFonts w:eastAsiaTheme="minorEastAsia"/>
        </w:rPr>
        <w:t xml:space="preserve">here are </w:t>
      </w:r>
      <w:r>
        <w:rPr>
          <w:rFonts w:eastAsiaTheme="minorEastAsia"/>
        </w:rPr>
        <w:t xml:space="preserve">number of </w:t>
      </w:r>
      <w:r w:rsidR="00AE4ED9">
        <w:rPr>
          <w:rFonts w:eastAsiaTheme="minorEastAsia"/>
        </w:rPr>
        <w:t xml:space="preserve">challenges </w:t>
      </w:r>
      <w:r w:rsidR="00370553">
        <w:rPr>
          <w:rFonts w:eastAsiaTheme="minorEastAsia"/>
        </w:rPr>
        <w:t>in this case. Though, t</w:t>
      </w:r>
      <w:r w:rsidR="00AE4ED9">
        <w:rPr>
          <w:rFonts w:eastAsiaTheme="minorEastAsia"/>
        </w:rPr>
        <w:t>he idea of the using the arc in a dog-bone configuration</w:t>
      </w:r>
      <w:r w:rsidR="00370553">
        <w:rPr>
          <w:rFonts w:eastAsiaTheme="minorEastAsia"/>
        </w:rPr>
        <w:t>,</w:t>
      </w:r>
      <w:r w:rsidR="00AE4ED9">
        <w:rPr>
          <w:rFonts w:eastAsiaTheme="minorEastAsia"/>
        </w:rPr>
        <w:t xml:space="preserve"> introduced for muon colliders in [</w:t>
      </w:r>
      <w:r w:rsidR="00F1727D">
        <w:rPr>
          <w:rFonts w:eastAsiaTheme="minorEastAsia"/>
        </w:rPr>
        <w:t>24</w:t>
      </w:r>
      <w:r w:rsidR="00AE4ED9">
        <w:rPr>
          <w:rFonts w:eastAsiaTheme="minorEastAsia"/>
        </w:rPr>
        <w:t>]</w:t>
      </w:r>
      <w:r w:rsidR="00370553">
        <w:rPr>
          <w:rFonts w:eastAsiaTheme="minorEastAsia"/>
        </w:rPr>
        <w:t>,</w:t>
      </w:r>
      <w:r w:rsidR="00AE4ED9">
        <w:rPr>
          <w:rFonts w:eastAsiaTheme="minorEastAsia"/>
        </w:rPr>
        <w:t xml:space="preserve"> is very fruitful, one remembers that the muon mass nearly 200 times larger as compared with an electron or positron. This means that for the same arc used for muon, the amount of the beam energy loss due to synchrotron radiation will be 1.6</w:t>
      </w:r>
      <m:oMath>
        <m:r>
          <w:rPr>
            <w:rFonts w:ascii="Cambria Math" w:eastAsiaTheme="minorEastAsia" w:hAnsi="Cambria Math"/>
          </w:rPr>
          <m:t>×</m:t>
        </m:r>
      </m:oMath>
      <w:r w:rsidR="00AE4ED9">
        <w:rPr>
          <w:rFonts w:eastAsiaTheme="minorEastAsia"/>
        </w:rPr>
        <w:t>10</w:t>
      </w:r>
      <w:r w:rsidR="00AE4ED9">
        <w:rPr>
          <w:rFonts w:eastAsiaTheme="minorEastAsia"/>
          <w:vertAlign w:val="superscript"/>
        </w:rPr>
        <w:t>8</w:t>
      </w:r>
      <w:r w:rsidR="00AE4ED9">
        <w:rPr>
          <w:rFonts w:eastAsiaTheme="minorEastAsia"/>
        </w:rPr>
        <w:t xml:space="preserve"> times larger. Using the expression </w:t>
      </w:r>
      <w:r w:rsidR="000A0335">
        <w:rPr>
          <w:rFonts w:eastAsiaTheme="minorEastAsia"/>
        </w:rPr>
        <w:t xml:space="preserve">for power loss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SR</m:t>
            </m:r>
          </m:sub>
        </m:sSub>
        <m:r>
          <w:rPr>
            <w:rFonts w:ascii="Cambria Math" w:eastAsiaTheme="minorEastAsia" w:hAnsi="Cambria Math"/>
          </w:rPr>
          <m:t>=0.089</m:t>
        </m:r>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MW</m:t>
                </m:r>
              </m:num>
              <m:den>
                <m:r>
                  <w:rPr>
                    <w:rFonts w:ascii="Cambria Math" w:eastAsiaTheme="minorEastAsia" w:hAnsi="Cambria Math"/>
                  </w:rPr>
                  <m:t>turn</m:t>
                </m:r>
              </m:den>
            </m:f>
          </m:e>
        </m:d>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E</m:t>
                </m:r>
              </m:e>
              <m:sub>
                <m:r>
                  <w:rPr>
                    <w:rFonts w:ascii="Cambria Math" w:eastAsiaTheme="minorEastAsia" w:hAnsi="Cambria Math"/>
                  </w:rPr>
                  <m:t>b</m:t>
                </m:r>
              </m:sub>
              <m:sup>
                <m:r>
                  <w:rPr>
                    <w:rFonts w:ascii="Cambria Math" w:eastAsiaTheme="minorEastAsia" w:hAnsi="Cambria Math"/>
                  </w:rPr>
                  <m:t>4</m:t>
                </m:r>
              </m:sup>
            </m:sSubSup>
            <m:sSub>
              <m:sSubPr>
                <m:ctrlPr>
                  <w:rPr>
                    <w:rFonts w:ascii="Cambria Math" w:eastAsiaTheme="minorEastAsia" w:hAnsi="Cambria Math"/>
                    <w:i/>
                  </w:rPr>
                </m:ctrlPr>
              </m:sSubPr>
              <m:e>
                <m:r>
                  <w:rPr>
                    <w:rFonts w:ascii="Cambria Math" w:eastAsiaTheme="minorEastAsia" w:hAnsi="Cambria Math"/>
                  </w:rPr>
                  <m:t>(GeV)I</m:t>
                </m:r>
              </m:e>
              <m:sub>
                <m:r>
                  <w:rPr>
                    <w:rFonts w:ascii="Cambria Math" w:eastAsiaTheme="minorEastAsia" w:hAnsi="Cambria Math"/>
                  </w:rPr>
                  <m:t>b</m:t>
                </m:r>
              </m:sub>
            </m:sSub>
            <m:r>
              <w:rPr>
                <w:rFonts w:ascii="Cambria Math" w:eastAsiaTheme="minorEastAsia" w:hAnsi="Cambria Math"/>
              </w:rPr>
              <m:t>(A)</m:t>
            </m:r>
          </m:num>
          <m:den>
            <m:r>
              <w:rPr>
                <w:rFonts w:ascii="Cambria Math" w:eastAsiaTheme="minorEastAsia" w:hAnsi="Cambria Math"/>
              </w:rPr>
              <m:t>eR(m)</m:t>
            </m:r>
          </m:den>
        </m:f>
      </m:oMath>
      <w:r w:rsidR="00AE4ED9">
        <w:rPr>
          <w:rFonts w:eastAsiaTheme="minorEastAsia"/>
        </w:rPr>
        <w:t xml:space="preserve">, one can estimate a single bunch of current, </w:t>
      </w:r>
      <w:proofErr w:type="spellStart"/>
      <w:r w:rsidR="00AE4ED9" w:rsidRPr="00221189">
        <w:rPr>
          <w:rFonts w:ascii="Times New Roman" w:eastAsiaTheme="minorEastAsia" w:hAnsi="Times New Roman"/>
          <w:i/>
        </w:rPr>
        <w:t>I</w:t>
      </w:r>
      <w:r w:rsidR="00AE4ED9" w:rsidRPr="00221189">
        <w:rPr>
          <w:rFonts w:ascii="Times New Roman" w:eastAsiaTheme="minorEastAsia" w:hAnsi="Times New Roman"/>
          <w:i/>
          <w:vertAlign w:val="subscript"/>
        </w:rPr>
        <w:t>b</w:t>
      </w:r>
      <w:proofErr w:type="spellEnd"/>
      <w:r w:rsidR="00AE4ED9">
        <w:rPr>
          <w:rFonts w:eastAsiaTheme="minorEastAsia"/>
        </w:rPr>
        <w:t>, energy loss, noting that for LEP [</w:t>
      </w:r>
      <w:r w:rsidR="00F1727D">
        <w:rPr>
          <w:rFonts w:eastAsiaTheme="minorEastAsia"/>
        </w:rPr>
        <w:t>25</w:t>
      </w:r>
      <w:r w:rsidR="00AE4ED9">
        <w:rPr>
          <w:rFonts w:eastAsiaTheme="minorEastAsia"/>
        </w:rPr>
        <w:t>] at energy of 100 GeV, 6 mA (per bunch) and 3 km radius, the total power loss was around 20 MW or 3 GeV per turn. Taking this into account</w:t>
      </w:r>
      <w:r w:rsidR="000A0335">
        <w:rPr>
          <w:rFonts w:eastAsiaTheme="minorEastAsia"/>
        </w:rPr>
        <w:t xml:space="preserve"> as well as loss of energy management flexibility, and possibility to install the FEL-stations </w:t>
      </w:r>
      <w:r w:rsidR="00AE4ED9">
        <w:rPr>
          <w:rFonts w:eastAsiaTheme="minorEastAsia"/>
        </w:rPr>
        <w:t xml:space="preserve"> the advantages of using the “dog-bone” configuration</w:t>
      </w:r>
      <w:r w:rsidR="00F1727D">
        <w:rPr>
          <w:rFonts w:eastAsiaTheme="minorEastAsia"/>
        </w:rPr>
        <w:t xml:space="preserve"> [6]</w:t>
      </w:r>
      <w:r w:rsidR="00EE3D21">
        <w:rPr>
          <w:rFonts w:eastAsiaTheme="minorEastAsia"/>
        </w:rPr>
        <w:t xml:space="preserve"> </w:t>
      </w:r>
      <w:r w:rsidR="000A0335">
        <w:rPr>
          <w:rFonts w:eastAsiaTheme="minorEastAsia"/>
        </w:rPr>
        <w:t>is</w:t>
      </w:r>
      <w:r w:rsidR="00EE3D21">
        <w:rPr>
          <w:rFonts w:eastAsiaTheme="minorEastAsia"/>
        </w:rPr>
        <w:t xml:space="preserve"> </w:t>
      </w:r>
      <w:r w:rsidR="00AE4ED9">
        <w:rPr>
          <w:rFonts w:eastAsiaTheme="minorEastAsia"/>
        </w:rPr>
        <w:t xml:space="preserve">unclear as compared with </w:t>
      </w:r>
      <w:r w:rsidR="000A0335">
        <w:rPr>
          <w:rFonts w:eastAsiaTheme="minorEastAsia"/>
        </w:rPr>
        <w:t>the storage rings</w:t>
      </w:r>
      <w:r w:rsidR="00EE3D21">
        <w:rPr>
          <w:rFonts w:eastAsiaTheme="minorEastAsia"/>
        </w:rPr>
        <w:t xml:space="preserve"> [8]</w:t>
      </w:r>
      <w:r w:rsidR="00AE4ED9">
        <w:rPr>
          <w:rFonts w:eastAsiaTheme="minorEastAsia"/>
        </w:rPr>
        <w:t xml:space="preserve">. </w:t>
      </w:r>
    </w:p>
    <w:p w14:paraId="20B307E6" w14:textId="4DDD31F4" w:rsidR="000A0335" w:rsidRDefault="00EE3D21" w:rsidP="00AE4ED9">
      <w:pPr>
        <w:autoSpaceDE w:val="0"/>
        <w:autoSpaceDN w:val="0"/>
        <w:adjustRightInd w:val="0"/>
        <w:jc w:val="both"/>
        <w:rPr>
          <w:rFonts w:eastAsiaTheme="minorEastAsia"/>
        </w:rPr>
      </w:pPr>
      <w:r>
        <w:rPr>
          <w:rFonts w:eastAsiaTheme="minorEastAsia"/>
        </w:rPr>
        <w:t>Considering</w:t>
      </w:r>
      <w:r w:rsidR="00AE4ED9">
        <w:rPr>
          <w:rFonts w:eastAsiaTheme="minorEastAsia"/>
        </w:rPr>
        <w:t xml:space="preserve"> the total power consumption from the grid</w:t>
      </w:r>
      <w:r>
        <w:rPr>
          <w:rFonts w:eastAsiaTheme="minorEastAsia"/>
        </w:rPr>
        <w:t>,</w:t>
      </w:r>
      <w:r w:rsidR="00AE4ED9">
        <w:rPr>
          <w:rFonts w:eastAsiaTheme="minorEastAsia"/>
        </w:rPr>
        <w:t xml:space="preserve"> it is reasonable to assume that the main power loss in the system will be associated with the RF losses in the accelerating cavities. </w:t>
      </w:r>
      <w:bookmarkStart w:id="6" w:name="_Hlk89177258"/>
      <w:r w:rsidR="00AE4ED9">
        <w:rPr>
          <w:rFonts w:eastAsiaTheme="minorEastAsia"/>
        </w:rPr>
        <w:t>Assuming the number of the cavities to be around 15000 and development of novel cryogenic systems [</w:t>
      </w:r>
      <w:r w:rsidR="00F1727D">
        <w:rPr>
          <w:rFonts w:eastAsiaTheme="minorEastAsia"/>
        </w:rPr>
        <w:t>26</w:t>
      </w:r>
      <w:r w:rsidR="00AE4ED9">
        <w:rPr>
          <w:rFonts w:eastAsiaTheme="minorEastAsia"/>
        </w:rPr>
        <w:t xml:space="preserve">] it is possible to estimate that to dissipate 1W power from the SRF system one will need up to 1200W from the power grid. </w:t>
      </w:r>
      <w:bookmarkEnd w:id="6"/>
      <w:r w:rsidR="00AE4ED9">
        <w:rPr>
          <w:rFonts w:eastAsiaTheme="minorEastAsia"/>
        </w:rPr>
        <w:t xml:space="preserve">The table </w:t>
      </w:r>
      <w:r w:rsidR="00F1727D">
        <w:rPr>
          <w:rFonts w:eastAsiaTheme="minorEastAsia"/>
        </w:rPr>
        <w:t>2</w:t>
      </w:r>
      <w:r w:rsidR="00AE4ED9">
        <w:rPr>
          <w:rFonts w:eastAsiaTheme="minorEastAsia"/>
        </w:rPr>
        <w:t xml:space="preserve"> illustrates the most important advantage of the novel system namely luminosity production efficiency </w:t>
      </w:r>
      <w:proofErr w:type="gramStart"/>
      <w:r w:rsidR="00AE4ED9">
        <w:rPr>
          <w:rFonts w:eastAsiaTheme="minorEastAsia"/>
        </w:rPr>
        <w:t>i.e.</w:t>
      </w:r>
      <w:proofErr w:type="gramEnd"/>
      <w:r w:rsidR="00AE4ED9">
        <w:rPr>
          <w:rFonts w:eastAsiaTheme="minorEastAsia"/>
        </w:rPr>
        <w:t xml:space="preserve"> </w:t>
      </w:r>
      <w:bookmarkStart w:id="7" w:name="_Hlk81240433"/>
      <w:r w:rsidR="00AE4ED9" w:rsidRPr="000A0977">
        <w:rPr>
          <w:rFonts w:ascii="French Script MT" w:eastAsia="Calibri" w:hAnsi="French Script MT"/>
          <w:i/>
          <w:iCs/>
          <w:lang w:val="en-US"/>
        </w:rPr>
        <w:t>L</w:t>
      </w:r>
      <w:r w:rsidR="00AE4ED9" w:rsidRPr="000A0977">
        <w:rPr>
          <w:rFonts w:ascii="French Script MT" w:eastAsia="Calibri" w:hAnsi="French Script MT"/>
          <w:i/>
          <w:iCs/>
          <w:vertAlign w:val="subscript"/>
          <w:lang w:val="en-US"/>
        </w:rPr>
        <w:t>0</w:t>
      </w:r>
      <w:bookmarkEnd w:id="7"/>
      <w:r w:rsidR="00AE4ED9">
        <w:rPr>
          <w:rFonts w:ascii="Calibri" w:eastAsia="Calibri" w:hAnsi="Calibri" w:cs="Calibri"/>
          <w:lang w:val="en-US"/>
        </w:rPr>
        <w:t>×</w:t>
      </w:r>
      <w:r w:rsidR="00AE4ED9" w:rsidRPr="00831668">
        <w:rPr>
          <w:rFonts w:ascii="Calibri" w:eastAsia="Calibri" w:hAnsi="Calibri"/>
          <w:lang w:val="en-US"/>
        </w:rPr>
        <w:t>10</w:t>
      </w:r>
      <w:r w:rsidR="00AE4ED9" w:rsidRPr="00831668">
        <w:rPr>
          <w:rFonts w:ascii="Calibri" w:eastAsia="Calibri" w:hAnsi="Calibri"/>
          <w:vertAlign w:val="superscript"/>
          <w:lang w:val="en-US"/>
        </w:rPr>
        <w:t xml:space="preserve">34 </w:t>
      </w:r>
      <w:r w:rsidR="00AE4ED9">
        <w:rPr>
          <w:rFonts w:eastAsiaTheme="minorEastAsia"/>
        </w:rPr>
        <w:t>cm</w:t>
      </w:r>
      <w:r w:rsidR="00AE4ED9" w:rsidRPr="005340E2">
        <w:rPr>
          <w:rFonts w:eastAsiaTheme="minorEastAsia"/>
          <w:vertAlign w:val="superscript"/>
        </w:rPr>
        <w:t>-2</w:t>
      </w:r>
      <w:r w:rsidR="00AE4ED9">
        <w:rPr>
          <w:rFonts w:eastAsiaTheme="minorEastAsia"/>
        </w:rPr>
        <w:t>s</w:t>
      </w:r>
      <w:r w:rsidR="00AE4ED9" w:rsidRPr="005340E2">
        <w:rPr>
          <w:rFonts w:eastAsiaTheme="minorEastAsia"/>
          <w:vertAlign w:val="superscript"/>
        </w:rPr>
        <w:t>-1</w:t>
      </w:r>
      <w:r w:rsidR="00AE4ED9">
        <w:rPr>
          <w:rFonts w:eastAsiaTheme="minorEastAsia"/>
          <w:vertAlign w:val="superscript"/>
        </w:rPr>
        <w:t xml:space="preserve"> </w:t>
      </w:r>
      <w:r w:rsidR="00AE4ED9" w:rsidRPr="00831668">
        <w:rPr>
          <w:rFonts w:ascii="Calibri" w:eastAsia="Calibri" w:hAnsi="Calibri"/>
          <w:lang w:val="en-US"/>
        </w:rPr>
        <w:t xml:space="preserve">per </w:t>
      </w:r>
      <w:r w:rsidR="00370553">
        <w:rPr>
          <w:rFonts w:ascii="Calibri" w:eastAsia="Calibri" w:hAnsi="Calibri"/>
          <w:lang w:val="en-US"/>
        </w:rPr>
        <w:t>N(</w:t>
      </w:r>
      <w:r w:rsidR="00AE4ED9" w:rsidRPr="00831668">
        <w:rPr>
          <w:rFonts w:ascii="Calibri" w:eastAsia="Calibri" w:hAnsi="Calibri"/>
          <w:lang w:val="en-US"/>
        </w:rPr>
        <w:t>MW</w:t>
      </w:r>
      <w:r w:rsidR="00370553">
        <w:rPr>
          <w:rFonts w:ascii="Calibri" w:eastAsia="Calibri" w:hAnsi="Calibri"/>
          <w:lang w:val="en-US"/>
        </w:rPr>
        <w:t>) from grid</w:t>
      </w:r>
      <w:r w:rsidR="00AE4ED9">
        <w:rPr>
          <w:rFonts w:eastAsiaTheme="minorEastAsia"/>
        </w:rPr>
        <w:t xml:space="preserve">. The luminosity was calculated for the ideal “flat” beam, and it is assumed, that the beam of average current 0.5 Amp is accumulated in the storage ring (CW regime, 1.3 GHz) and every 10 sec bunch (to avoid beam-beam instabilities) is injected into the LER-C (10% duty cycle) for HEP experiments. In this case </w:t>
      </w:r>
      <w:r w:rsidR="00AE4ED9" w:rsidRPr="00CE6515">
        <w:rPr>
          <w:rFonts w:ascii="French Script MT" w:eastAsia="Calibri" w:hAnsi="French Script MT"/>
          <w:i/>
          <w:iCs/>
          <w:lang w:val="en-US"/>
        </w:rPr>
        <w:t>L</w:t>
      </w:r>
      <w:r w:rsidR="00AE4ED9" w:rsidRPr="00CE6515">
        <w:rPr>
          <w:rFonts w:ascii="French Script MT" w:eastAsia="Calibri" w:hAnsi="French Script MT"/>
          <w:i/>
          <w:iCs/>
          <w:vertAlign w:val="subscript"/>
          <w:lang w:val="en-US"/>
        </w:rPr>
        <w:t>0</w:t>
      </w:r>
      <w:r w:rsidR="00AE4ED9">
        <w:rPr>
          <w:rFonts w:eastAsiaTheme="minorEastAsia"/>
        </w:rPr>
        <w:t xml:space="preserve"> can be estimated </w:t>
      </w:r>
      <w:r>
        <w:rPr>
          <w:rFonts w:eastAsiaTheme="minorEastAsia"/>
        </w:rPr>
        <w:t>~</w:t>
      </w:r>
      <w:r w:rsidR="00AE4ED9">
        <w:rPr>
          <w:rFonts w:eastAsiaTheme="minorEastAsia"/>
        </w:rPr>
        <w:t xml:space="preserve"> 50. </w:t>
      </w:r>
      <w:r w:rsidR="00370553">
        <w:rPr>
          <w:rFonts w:eastAsiaTheme="minorEastAsia"/>
        </w:rPr>
        <w:t xml:space="preserve">In Table 2 the comparison of the luminosity efficiency </w:t>
      </w:r>
      <w:r w:rsidR="00D33A16">
        <w:rPr>
          <w:rFonts w:eastAsiaTheme="minorEastAsia"/>
        </w:rPr>
        <w:t>(</w:t>
      </w:r>
      <w:r w:rsidR="00D33A16" w:rsidRPr="00D33A16">
        <w:rPr>
          <w:rFonts w:ascii="Times New Roman" w:eastAsiaTheme="minorEastAsia" w:hAnsi="Times New Roman"/>
          <w:i/>
          <w:iCs/>
        </w:rPr>
        <w:t>LE</w:t>
      </w:r>
      <w:r w:rsidR="00D33A16">
        <w:rPr>
          <w:rFonts w:eastAsiaTheme="minorEastAsia"/>
        </w:rPr>
        <w:t xml:space="preserve">) </w:t>
      </w:r>
      <w:r w:rsidR="00370553">
        <w:rPr>
          <w:rFonts w:eastAsiaTheme="minorEastAsia"/>
        </w:rPr>
        <w:t xml:space="preserve">for </w:t>
      </w:r>
      <w:r w:rsidR="00AE4ED9">
        <w:rPr>
          <w:rFonts w:eastAsiaTheme="minorEastAsia"/>
        </w:rPr>
        <w:t xml:space="preserve">the </w:t>
      </w:r>
      <w:r w:rsidR="00370553">
        <w:rPr>
          <w:rFonts w:eastAsiaTheme="minorEastAsia"/>
        </w:rPr>
        <w:t xml:space="preserve">ILC and CLER-C operating at 250MeV and 300MeV </w:t>
      </w:r>
      <w:proofErr w:type="spellStart"/>
      <w:r w:rsidR="00AE4ED9">
        <w:rPr>
          <w:rFonts w:eastAsiaTheme="minorEastAsia"/>
        </w:rPr>
        <w:t>C</w:t>
      </w:r>
      <w:r w:rsidR="00370553">
        <w:rPr>
          <w:rFonts w:eastAsiaTheme="minorEastAsia"/>
        </w:rPr>
        <w:t>o</w:t>
      </w:r>
      <w:r w:rsidR="00AE4ED9">
        <w:rPr>
          <w:rFonts w:eastAsiaTheme="minorEastAsia"/>
        </w:rPr>
        <w:t>M</w:t>
      </w:r>
      <w:proofErr w:type="spellEnd"/>
      <w:r w:rsidR="00AE4ED9">
        <w:rPr>
          <w:rFonts w:eastAsiaTheme="minorEastAsia"/>
        </w:rPr>
        <w:t xml:space="preserve"> energ</w:t>
      </w:r>
      <w:r w:rsidR="00370553">
        <w:rPr>
          <w:rFonts w:eastAsiaTheme="minorEastAsia"/>
        </w:rPr>
        <w:t>ies</w:t>
      </w:r>
      <w:r w:rsidR="00AE4ED9">
        <w:rPr>
          <w:rFonts w:eastAsiaTheme="minorEastAsia"/>
        </w:rPr>
        <w:t xml:space="preserve"> at IP is </w:t>
      </w:r>
      <w:r w:rsidR="00370553">
        <w:rPr>
          <w:rFonts w:eastAsiaTheme="minorEastAsia"/>
        </w:rPr>
        <w:t xml:space="preserve">shown. </w:t>
      </w:r>
    </w:p>
    <w:p w14:paraId="7CDC89C3" w14:textId="77777777" w:rsidR="004105CD" w:rsidRPr="004105CD" w:rsidRDefault="004105CD" w:rsidP="00AE4ED9">
      <w:pPr>
        <w:autoSpaceDE w:val="0"/>
        <w:autoSpaceDN w:val="0"/>
        <w:adjustRightInd w:val="0"/>
        <w:jc w:val="both"/>
        <w:rPr>
          <w:rFonts w:eastAsiaTheme="minorEastAsia"/>
          <w:sz w:val="6"/>
          <w:szCs w:val="6"/>
        </w:rPr>
      </w:pPr>
    </w:p>
    <w:p w14:paraId="27A150AF" w14:textId="71FE519D" w:rsidR="000A0335" w:rsidRPr="00252C44" w:rsidRDefault="00AE4ED9" w:rsidP="00252C44">
      <w:pPr>
        <w:rPr>
          <w:rFonts w:ascii="Calibri" w:eastAsia="Calibri" w:hAnsi="Calibri"/>
          <w:b/>
          <w:bCs/>
          <w:lang w:val="en-US"/>
        </w:rPr>
      </w:pPr>
      <w:r>
        <w:rPr>
          <w:rFonts w:eastAsiaTheme="minorEastAsia"/>
        </w:rPr>
        <w:t xml:space="preserve">    </w:t>
      </w:r>
      <w:r w:rsidR="000A0335" w:rsidRPr="009E6644">
        <w:t xml:space="preserve">Table </w:t>
      </w:r>
      <w:r w:rsidR="000A0335">
        <w:t>2</w:t>
      </w:r>
      <w:r w:rsidR="000A0335" w:rsidRPr="009E6644">
        <w:t xml:space="preserve">: </w:t>
      </w:r>
      <w:r w:rsidR="00252C44" w:rsidRPr="00252C44">
        <w:t>AC power (MW) consumption and luminosity efficiency for ILC and CLER-C</w:t>
      </w:r>
      <w:r w:rsidR="00252C44">
        <w:t xml:space="preserve"> (300GeV </w:t>
      </w:r>
      <w:proofErr w:type="spellStart"/>
      <w:r w:rsidR="00252C44">
        <w:t>CoM</w:t>
      </w:r>
      <w:proofErr w:type="spellEnd"/>
      <w:r w:rsidR="004105CD">
        <w:t xml:space="preserve">, luminosity </w:t>
      </w:r>
      <w:r w:rsidR="004105CD" w:rsidRPr="004105CD">
        <w:t>50*10</w:t>
      </w:r>
      <w:r w:rsidR="004105CD" w:rsidRPr="004105CD">
        <w:rPr>
          <w:vertAlign w:val="superscript"/>
        </w:rPr>
        <w:t>34</w:t>
      </w:r>
      <w:r w:rsidR="004105CD">
        <w:t xml:space="preserve"> </w:t>
      </w:r>
      <w:r w:rsidR="00252C44">
        <w:t>)</w:t>
      </w:r>
      <w:r w:rsidR="00F1727D">
        <w:t>.</w:t>
      </w:r>
    </w:p>
    <w:tbl>
      <w:tblPr>
        <w:tblW w:w="0" w:type="auto"/>
        <w:jc w:val="center"/>
        <w:tblBorders>
          <w:top w:val="single" w:sz="12" w:space="0" w:color="auto"/>
          <w:bottom w:val="single" w:sz="12" w:space="0" w:color="auto"/>
          <w:insideH w:val="single" w:sz="4" w:space="0" w:color="auto"/>
        </w:tblBorders>
        <w:tblLook w:val="0000" w:firstRow="0" w:lastRow="0" w:firstColumn="0" w:lastColumn="0" w:noHBand="0" w:noVBand="0"/>
      </w:tblPr>
      <w:tblGrid>
        <w:gridCol w:w="1276"/>
        <w:gridCol w:w="1418"/>
        <w:gridCol w:w="1562"/>
      </w:tblGrid>
      <w:tr w:rsidR="000A0335" w:rsidRPr="009E6644" w14:paraId="4499D823" w14:textId="77777777" w:rsidTr="00280988">
        <w:trPr>
          <w:jc w:val="center"/>
        </w:trPr>
        <w:tc>
          <w:tcPr>
            <w:tcW w:w="1276" w:type="dxa"/>
            <w:tcBorders>
              <w:top w:val="single" w:sz="8" w:space="0" w:color="auto"/>
              <w:bottom w:val="single" w:sz="4" w:space="0" w:color="auto"/>
            </w:tcBorders>
          </w:tcPr>
          <w:p w14:paraId="72A10A16" w14:textId="4D69313E" w:rsidR="000A0335" w:rsidRPr="009E6644" w:rsidRDefault="00252C44" w:rsidP="006E79A9">
            <w:pPr>
              <w:pStyle w:val="TableCaption"/>
              <w:keepNext/>
              <w:spacing w:before="20" w:after="20"/>
              <w:jc w:val="left"/>
              <w:rPr>
                <w:b/>
                <w:bCs/>
                <w:kern w:val="16"/>
                <w:szCs w:val="18"/>
              </w:rPr>
            </w:pPr>
            <w:r>
              <w:rPr>
                <w:b/>
                <w:bCs/>
                <w:kern w:val="16"/>
                <w:szCs w:val="18"/>
              </w:rPr>
              <w:t>System</w:t>
            </w:r>
          </w:p>
        </w:tc>
        <w:tc>
          <w:tcPr>
            <w:tcW w:w="1418" w:type="dxa"/>
            <w:tcBorders>
              <w:top w:val="single" w:sz="8" w:space="0" w:color="auto"/>
              <w:bottom w:val="single" w:sz="4" w:space="0" w:color="auto"/>
            </w:tcBorders>
          </w:tcPr>
          <w:p w14:paraId="270CD6E5" w14:textId="3DCC59C8" w:rsidR="000A0335" w:rsidRPr="009E6644" w:rsidRDefault="00252C44" w:rsidP="006E79A9">
            <w:pPr>
              <w:pStyle w:val="TableCaption"/>
              <w:keepNext/>
              <w:spacing w:before="20" w:after="20"/>
              <w:rPr>
                <w:b/>
                <w:bCs/>
                <w:kern w:val="16"/>
                <w:szCs w:val="18"/>
              </w:rPr>
            </w:pPr>
            <w:r>
              <w:rPr>
                <w:b/>
                <w:bCs/>
                <w:kern w:val="16"/>
                <w:szCs w:val="18"/>
              </w:rPr>
              <w:t>ILC</w:t>
            </w:r>
            <w:r w:rsidR="00280988">
              <w:rPr>
                <w:b/>
                <w:bCs/>
                <w:kern w:val="16"/>
                <w:szCs w:val="18"/>
              </w:rPr>
              <w:t xml:space="preserve"> </w:t>
            </w:r>
          </w:p>
        </w:tc>
        <w:tc>
          <w:tcPr>
            <w:tcW w:w="1562" w:type="dxa"/>
            <w:tcBorders>
              <w:top w:val="single" w:sz="8" w:space="0" w:color="auto"/>
              <w:bottom w:val="single" w:sz="4" w:space="0" w:color="auto"/>
            </w:tcBorders>
          </w:tcPr>
          <w:p w14:paraId="329CCE0F" w14:textId="639D2732" w:rsidR="000A0335" w:rsidRPr="009E6644" w:rsidRDefault="004105CD" w:rsidP="006E79A9">
            <w:pPr>
              <w:pStyle w:val="TableCaption"/>
              <w:keepNext/>
              <w:spacing w:before="20" w:after="20"/>
              <w:rPr>
                <w:b/>
                <w:bCs/>
                <w:kern w:val="16"/>
                <w:szCs w:val="18"/>
              </w:rPr>
            </w:pPr>
            <w:r>
              <w:rPr>
                <w:b/>
                <w:bCs/>
                <w:kern w:val="16"/>
                <w:szCs w:val="18"/>
              </w:rPr>
              <w:t>CLER-C</w:t>
            </w:r>
            <w:r w:rsidR="00280988">
              <w:rPr>
                <w:b/>
                <w:bCs/>
                <w:kern w:val="16"/>
                <w:szCs w:val="18"/>
              </w:rPr>
              <w:t xml:space="preserve"> </w:t>
            </w:r>
          </w:p>
        </w:tc>
      </w:tr>
      <w:tr w:rsidR="000A0335" w:rsidRPr="009E6644" w14:paraId="0F637B18" w14:textId="77777777" w:rsidTr="00280988">
        <w:trPr>
          <w:jc w:val="center"/>
        </w:trPr>
        <w:tc>
          <w:tcPr>
            <w:tcW w:w="1276" w:type="dxa"/>
            <w:tcBorders>
              <w:top w:val="single" w:sz="4" w:space="0" w:color="auto"/>
              <w:bottom w:val="nil"/>
            </w:tcBorders>
          </w:tcPr>
          <w:p w14:paraId="5D058384" w14:textId="6C814B7D" w:rsidR="000A0335" w:rsidRPr="009E6644" w:rsidRDefault="00252C44" w:rsidP="006E79A9">
            <w:pPr>
              <w:pStyle w:val="TableCaption"/>
              <w:keepNext/>
              <w:spacing w:before="20" w:after="20"/>
              <w:jc w:val="left"/>
              <w:rPr>
                <w:kern w:val="16"/>
                <w:szCs w:val="18"/>
              </w:rPr>
            </w:pPr>
            <w:r>
              <w:rPr>
                <w:kern w:val="16"/>
                <w:szCs w:val="18"/>
              </w:rPr>
              <w:t>Modulators</w:t>
            </w:r>
          </w:p>
        </w:tc>
        <w:tc>
          <w:tcPr>
            <w:tcW w:w="1418" w:type="dxa"/>
            <w:tcBorders>
              <w:top w:val="single" w:sz="4" w:space="0" w:color="auto"/>
              <w:bottom w:val="nil"/>
            </w:tcBorders>
          </w:tcPr>
          <w:p w14:paraId="37933FC3" w14:textId="0395F846" w:rsidR="000A0335" w:rsidRPr="009E6644" w:rsidRDefault="00174C53" w:rsidP="006E79A9">
            <w:pPr>
              <w:pStyle w:val="TableCaption"/>
              <w:keepNext/>
              <w:spacing w:before="20" w:after="20"/>
              <w:rPr>
                <w:kern w:val="16"/>
                <w:szCs w:val="18"/>
              </w:rPr>
            </w:pPr>
            <w:r>
              <w:rPr>
                <w:kern w:val="16"/>
                <w:szCs w:val="18"/>
              </w:rPr>
              <w:t>58.1</w:t>
            </w:r>
            <w:r w:rsidR="00280988">
              <w:rPr>
                <w:kern w:val="16"/>
                <w:szCs w:val="18"/>
              </w:rPr>
              <w:t xml:space="preserve"> MW</w:t>
            </w:r>
          </w:p>
        </w:tc>
        <w:tc>
          <w:tcPr>
            <w:tcW w:w="1562" w:type="dxa"/>
            <w:tcBorders>
              <w:top w:val="single" w:sz="4" w:space="0" w:color="auto"/>
              <w:bottom w:val="nil"/>
            </w:tcBorders>
          </w:tcPr>
          <w:p w14:paraId="2701E964" w14:textId="5FF716EA" w:rsidR="000A0335" w:rsidRPr="009E6644" w:rsidRDefault="00174C53" w:rsidP="006E79A9">
            <w:pPr>
              <w:pStyle w:val="TableCaption"/>
              <w:keepNext/>
              <w:spacing w:before="20" w:after="20"/>
              <w:rPr>
                <w:kern w:val="16"/>
                <w:szCs w:val="18"/>
              </w:rPr>
            </w:pPr>
            <w:r>
              <w:rPr>
                <w:kern w:val="16"/>
                <w:szCs w:val="18"/>
              </w:rPr>
              <w:t>6</w:t>
            </w:r>
            <w:r w:rsidR="00280988">
              <w:rPr>
                <w:kern w:val="16"/>
                <w:szCs w:val="18"/>
              </w:rPr>
              <w:t xml:space="preserve"> MW</w:t>
            </w:r>
          </w:p>
        </w:tc>
      </w:tr>
      <w:tr w:rsidR="000A0335" w:rsidRPr="009E6644" w14:paraId="3359526F" w14:textId="77777777" w:rsidTr="00280988">
        <w:trPr>
          <w:jc w:val="center"/>
        </w:trPr>
        <w:tc>
          <w:tcPr>
            <w:tcW w:w="1276" w:type="dxa"/>
            <w:tcBorders>
              <w:top w:val="nil"/>
              <w:bottom w:val="nil"/>
            </w:tcBorders>
          </w:tcPr>
          <w:p w14:paraId="7676126B" w14:textId="40D17F3E" w:rsidR="000A0335" w:rsidRPr="009E6644" w:rsidRDefault="00252C44" w:rsidP="006E79A9">
            <w:pPr>
              <w:pStyle w:val="TableCaption"/>
              <w:keepNext/>
              <w:spacing w:before="20" w:after="20"/>
              <w:jc w:val="left"/>
              <w:rPr>
                <w:kern w:val="16"/>
                <w:szCs w:val="18"/>
              </w:rPr>
            </w:pPr>
            <w:r>
              <w:rPr>
                <w:kern w:val="16"/>
                <w:szCs w:val="18"/>
              </w:rPr>
              <w:t>Cryogenics</w:t>
            </w:r>
          </w:p>
        </w:tc>
        <w:tc>
          <w:tcPr>
            <w:tcW w:w="1418" w:type="dxa"/>
            <w:tcBorders>
              <w:top w:val="nil"/>
              <w:bottom w:val="nil"/>
            </w:tcBorders>
          </w:tcPr>
          <w:p w14:paraId="2AAD96BF" w14:textId="62EB1307" w:rsidR="000A0335" w:rsidRPr="009E6644" w:rsidRDefault="00DE7F38" w:rsidP="006E79A9">
            <w:pPr>
              <w:pStyle w:val="TableCaption"/>
              <w:keepNext/>
              <w:spacing w:before="20" w:after="20"/>
              <w:rPr>
                <w:kern w:val="16"/>
                <w:szCs w:val="18"/>
              </w:rPr>
            </w:pPr>
            <w:r>
              <w:rPr>
                <w:kern w:val="16"/>
                <w:szCs w:val="18"/>
              </w:rPr>
              <w:t>49.3</w:t>
            </w:r>
            <w:r w:rsidR="00280988">
              <w:rPr>
                <w:kern w:val="16"/>
                <w:szCs w:val="18"/>
              </w:rPr>
              <w:t xml:space="preserve"> MW</w:t>
            </w:r>
          </w:p>
        </w:tc>
        <w:tc>
          <w:tcPr>
            <w:tcW w:w="1562" w:type="dxa"/>
            <w:tcBorders>
              <w:top w:val="nil"/>
              <w:bottom w:val="nil"/>
            </w:tcBorders>
          </w:tcPr>
          <w:p w14:paraId="607CEB3C" w14:textId="1437063C" w:rsidR="000A0335" w:rsidRPr="009E6644" w:rsidRDefault="00DE7F38" w:rsidP="006E79A9">
            <w:pPr>
              <w:pStyle w:val="TableCaption"/>
              <w:keepNext/>
              <w:spacing w:before="20" w:after="20"/>
              <w:rPr>
                <w:kern w:val="16"/>
                <w:szCs w:val="18"/>
              </w:rPr>
            </w:pPr>
            <w:r>
              <w:rPr>
                <w:kern w:val="16"/>
                <w:szCs w:val="18"/>
              </w:rPr>
              <w:t>468</w:t>
            </w:r>
            <w:r w:rsidR="00280988">
              <w:rPr>
                <w:kern w:val="16"/>
                <w:szCs w:val="18"/>
              </w:rPr>
              <w:t xml:space="preserve"> MW</w:t>
            </w:r>
          </w:p>
        </w:tc>
      </w:tr>
      <w:tr w:rsidR="000A0335" w:rsidRPr="009E6644" w14:paraId="7A1D9CAB" w14:textId="77777777" w:rsidTr="00280988">
        <w:trPr>
          <w:jc w:val="center"/>
        </w:trPr>
        <w:tc>
          <w:tcPr>
            <w:tcW w:w="1276" w:type="dxa"/>
            <w:tcBorders>
              <w:top w:val="nil"/>
              <w:bottom w:val="single" w:sz="4" w:space="0" w:color="auto"/>
            </w:tcBorders>
          </w:tcPr>
          <w:p w14:paraId="04BC4CE9" w14:textId="3CCCFA26" w:rsidR="000A0335" w:rsidRPr="009E6644" w:rsidRDefault="00252C44" w:rsidP="006E79A9">
            <w:pPr>
              <w:pStyle w:val="TableCaption"/>
              <w:keepNext/>
              <w:spacing w:before="20" w:after="20"/>
              <w:jc w:val="left"/>
              <w:rPr>
                <w:kern w:val="16"/>
                <w:szCs w:val="18"/>
              </w:rPr>
            </w:pPr>
            <w:r>
              <w:rPr>
                <w:kern w:val="16"/>
                <w:szCs w:val="18"/>
              </w:rPr>
              <w:t>Common</w:t>
            </w:r>
            <w:r w:rsidR="00174C53">
              <w:rPr>
                <w:kern w:val="16"/>
                <w:szCs w:val="18"/>
              </w:rPr>
              <w:t xml:space="preserve"> infrastructure</w:t>
            </w:r>
          </w:p>
        </w:tc>
        <w:tc>
          <w:tcPr>
            <w:tcW w:w="1418" w:type="dxa"/>
            <w:tcBorders>
              <w:top w:val="nil"/>
              <w:bottom w:val="single" w:sz="4" w:space="0" w:color="auto"/>
            </w:tcBorders>
          </w:tcPr>
          <w:p w14:paraId="46DF3F4A" w14:textId="602097CE" w:rsidR="000A0335" w:rsidRPr="009E6644" w:rsidRDefault="00DE7F38" w:rsidP="006E79A9">
            <w:pPr>
              <w:pStyle w:val="TableCaption"/>
              <w:keepNext/>
              <w:spacing w:before="20" w:after="20"/>
              <w:rPr>
                <w:kern w:val="16"/>
                <w:szCs w:val="18"/>
              </w:rPr>
            </w:pPr>
            <w:r>
              <w:rPr>
                <w:kern w:val="16"/>
                <w:szCs w:val="18"/>
              </w:rPr>
              <w:t>19.1</w:t>
            </w:r>
            <w:r w:rsidR="00280988">
              <w:rPr>
                <w:kern w:val="16"/>
                <w:szCs w:val="18"/>
              </w:rPr>
              <w:t xml:space="preserve"> MW</w:t>
            </w:r>
          </w:p>
        </w:tc>
        <w:tc>
          <w:tcPr>
            <w:tcW w:w="1562" w:type="dxa"/>
            <w:tcBorders>
              <w:top w:val="nil"/>
              <w:bottom w:val="single" w:sz="4" w:space="0" w:color="auto"/>
            </w:tcBorders>
          </w:tcPr>
          <w:p w14:paraId="7D8BE002" w14:textId="4FC115A2" w:rsidR="000A0335" w:rsidRPr="009E6644" w:rsidRDefault="00DE7F38" w:rsidP="006E79A9">
            <w:pPr>
              <w:pStyle w:val="TableCaption"/>
              <w:keepNext/>
              <w:spacing w:before="20" w:after="20"/>
              <w:rPr>
                <w:kern w:val="16"/>
                <w:szCs w:val="18"/>
              </w:rPr>
            </w:pPr>
            <w:r>
              <w:rPr>
                <w:kern w:val="16"/>
                <w:szCs w:val="18"/>
              </w:rPr>
              <w:t>19.1</w:t>
            </w:r>
            <w:r w:rsidR="00280988">
              <w:rPr>
                <w:kern w:val="16"/>
                <w:szCs w:val="18"/>
              </w:rPr>
              <w:t xml:space="preserve"> MW</w:t>
            </w:r>
          </w:p>
        </w:tc>
      </w:tr>
      <w:tr w:rsidR="000A0335" w:rsidRPr="009E6644" w14:paraId="7E6ABA39" w14:textId="77777777" w:rsidTr="00280988">
        <w:trPr>
          <w:jc w:val="center"/>
        </w:trPr>
        <w:tc>
          <w:tcPr>
            <w:tcW w:w="1276" w:type="dxa"/>
            <w:tcBorders>
              <w:top w:val="single" w:sz="4" w:space="0" w:color="auto"/>
              <w:bottom w:val="single" w:sz="8" w:space="0" w:color="auto"/>
            </w:tcBorders>
          </w:tcPr>
          <w:p w14:paraId="5D103458" w14:textId="1E871546" w:rsidR="000A0335" w:rsidRPr="00D33A16" w:rsidRDefault="00D33A16" w:rsidP="00252C44">
            <w:pPr>
              <w:rPr>
                <w:rFonts w:ascii="Times New Roman" w:eastAsia="Calibri" w:hAnsi="Times New Roman"/>
                <w:b/>
                <w:bCs/>
                <w:lang w:val="en-US"/>
              </w:rPr>
            </w:pPr>
            <w:r w:rsidRPr="00D33A16">
              <w:rPr>
                <w:rFonts w:ascii="Times New Roman" w:eastAsia="Calibri" w:hAnsi="Times New Roman"/>
                <w:i/>
                <w:iCs/>
                <w:lang w:val="en-US"/>
              </w:rPr>
              <w:t>LE</w:t>
            </w:r>
          </w:p>
        </w:tc>
        <w:tc>
          <w:tcPr>
            <w:tcW w:w="1418" w:type="dxa"/>
            <w:tcBorders>
              <w:top w:val="single" w:sz="4" w:space="0" w:color="auto"/>
              <w:bottom w:val="single" w:sz="8" w:space="0" w:color="auto"/>
            </w:tcBorders>
          </w:tcPr>
          <w:p w14:paraId="51B50748" w14:textId="649EF4ED" w:rsidR="000A0335" w:rsidRPr="00280988" w:rsidRDefault="00DE7F38" w:rsidP="006E79A9">
            <w:pPr>
              <w:pStyle w:val="TableCaption"/>
              <w:spacing w:before="20" w:after="20"/>
              <w:rPr>
                <w:b/>
                <w:bCs/>
                <w:kern w:val="16"/>
                <w:szCs w:val="18"/>
              </w:rPr>
            </w:pPr>
            <w:r w:rsidRPr="00280988">
              <w:rPr>
                <w:b/>
                <w:bCs/>
                <w:kern w:val="16"/>
                <w:szCs w:val="18"/>
              </w:rPr>
              <w:t>0.0045</w:t>
            </w:r>
          </w:p>
        </w:tc>
        <w:tc>
          <w:tcPr>
            <w:tcW w:w="1562" w:type="dxa"/>
            <w:tcBorders>
              <w:top w:val="single" w:sz="4" w:space="0" w:color="auto"/>
              <w:bottom w:val="single" w:sz="8" w:space="0" w:color="auto"/>
            </w:tcBorders>
          </w:tcPr>
          <w:p w14:paraId="28E543E7" w14:textId="3B5E1736" w:rsidR="000A0335" w:rsidRPr="00280988" w:rsidRDefault="00DE7F38" w:rsidP="006E79A9">
            <w:pPr>
              <w:pStyle w:val="TableCaption"/>
              <w:spacing w:before="20" w:after="20"/>
              <w:rPr>
                <w:b/>
                <w:bCs/>
                <w:kern w:val="16"/>
                <w:szCs w:val="18"/>
              </w:rPr>
            </w:pPr>
            <w:r w:rsidRPr="00280988">
              <w:rPr>
                <w:b/>
                <w:bCs/>
                <w:kern w:val="16"/>
                <w:szCs w:val="18"/>
              </w:rPr>
              <w:t>0.097</w:t>
            </w:r>
          </w:p>
        </w:tc>
      </w:tr>
    </w:tbl>
    <w:p w14:paraId="66F03690" w14:textId="613760DD" w:rsidR="000A0335" w:rsidRDefault="000A0335" w:rsidP="000A0335">
      <w:pPr>
        <w:pStyle w:val="JACoWSectionHeading"/>
        <w:rPr>
          <w:lang w:val="en-GB"/>
        </w:rPr>
      </w:pPr>
      <w:bookmarkStart w:id="8" w:name="_Hlk116138733"/>
      <w:r>
        <w:rPr>
          <w:lang w:val="en-GB"/>
        </w:rPr>
        <w:lastRenderedPageBreak/>
        <w:t>Conclusion</w:t>
      </w:r>
      <w:bookmarkEnd w:id="8"/>
    </w:p>
    <w:p w14:paraId="2DB879C9" w14:textId="5B5EC686" w:rsidR="00226507" w:rsidRDefault="005B233B" w:rsidP="00226507">
      <w:pPr>
        <w:spacing w:after="100"/>
        <w:jc w:val="both"/>
        <w:rPr>
          <w:rFonts w:eastAsiaTheme="minorEastAsia"/>
        </w:rPr>
      </w:pPr>
      <w:r w:rsidRPr="005B233B">
        <w:rPr>
          <w:rFonts w:eastAsiaTheme="minorEastAsia"/>
        </w:rPr>
        <w:t xml:space="preserve">The machine presented is a lepton-lepton collider, capable of operating at the energy frontiers while being energy efficient and enabling flexible energy management. </w:t>
      </w:r>
      <w:r>
        <w:rPr>
          <w:rFonts w:eastAsiaTheme="minorEastAsia"/>
        </w:rPr>
        <w:br/>
        <w:t>W</w:t>
      </w:r>
      <w:r w:rsidRPr="005B233B">
        <w:rPr>
          <w:rFonts w:eastAsiaTheme="minorEastAsia"/>
        </w:rPr>
        <w:t>e discussed the challenges which conventional accelerators are facing,</w:t>
      </w:r>
      <w:r>
        <w:rPr>
          <w:rFonts w:eastAsiaTheme="minorEastAsia"/>
        </w:rPr>
        <w:t xml:space="preserve"> and</w:t>
      </w:r>
      <w:r w:rsidRPr="005B233B">
        <w:rPr>
          <w:rFonts w:eastAsiaTheme="minorEastAsia"/>
        </w:rPr>
        <w:t xml:space="preserve"> </w:t>
      </w:r>
      <w:r>
        <w:rPr>
          <w:rFonts w:eastAsiaTheme="minorEastAsia"/>
        </w:rPr>
        <w:t>a</w:t>
      </w:r>
      <w:r w:rsidRPr="005B233B">
        <w:rPr>
          <w:rFonts w:eastAsiaTheme="minorEastAsia"/>
        </w:rPr>
        <w:t>lternative solution ha</w:t>
      </w:r>
      <w:r>
        <w:rPr>
          <w:rFonts w:eastAsiaTheme="minorEastAsia"/>
        </w:rPr>
        <w:t>s</w:t>
      </w:r>
      <w:r w:rsidRPr="005B233B">
        <w:rPr>
          <w:rFonts w:eastAsiaTheme="minorEastAsia"/>
        </w:rPr>
        <w:t xml:space="preserve"> been suggested. </w:t>
      </w:r>
      <w:r>
        <w:rPr>
          <w:rFonts w:eastAsiaTheme="minorEastAsia"/>
        </w:rPr>
        <w:t>T</w:t>
      </w:r>
      <w:r w:rsidRPr="005B233B">
        <w:rPr>
          <w:rFonts w:eastAsiaTheme="minorEastAsia"/>
        </w:rPr>
        <w:t xml:space="preserve">he concept of </w:t>
      </w:r>
      <w:r>
        <w:rPr>
          <w:rFonts w:eastAsiaTheme="minorEastAsia"/>
        </w:rPr>
        <w:t xml:space="preserve">novel </w:t>
      </w:r>
      <w:r w:rsidRPr="005B233B">
        <w:rPr>
          <w:rFonts w:eastAsiaTheme="minorEastAsia"/>
        </w:rPr>
        <w:t xml:space="preserve">energy frontier accelerators has been presented and discussed. The </w:t>
      </w:r>
      <w:r>
        <w:rPr>
          <w:rFonts w:eastAsiaTheme="minorEastAsia"/>
        </w:rPr>
        <w:t xml:space="preserve">design of the </w:t>
      </w:r>
      <w:r w:rsidRPr="005B233B">
        <w:rPr>
          <w:rFonts w:eastAsiaTheme="minorEastAsia"/>
        </w:rPr>
        <w:t>machine</w:t>
      </w:r>
      <w:r>
        <w:rPr>
          <w:rFonts w:eastAsiaTheme="minorEastAsia"/>
        </w:rPr>
        <w:t xml:space="preserve"> is based on</w:t>
      </w:r>
      <w:r w:rsidRPr="005B233B">
        <w:rPr>
          <w:rFonts w:eastAsiaTheme="minorEastAsia"/>
        </w:rPr>
        <w:t xml:space="preserve"> merg</w:t>
      </w:r>
      <w:r>
        <w:rPr>
          <w:rFonts w:eastAsiaTheme="minorEastAsia"/>
        </w:rPr>
        <w:t>ing</w:t>
      </w:r>
      <w:r w:rsidRPr="005B233B">
        <w:rPr>
          <w:rFonts w:eastAsiaTheme="minorEastAsia"/>
        </w:rPr>
        <w:t xml:space="preserve"> </w:t>
      </w:r>
      <w:r>
        <w:rPr>
          <w:rFonts w:eastAsiaTheme="minorEastAsia"/>
        </w:rPr>
        <w:t xml:space="preserve">of a </w:t>
      </w:r>
      <w:r w:rsidRPr="005B233B">
        <w:rPr>
          <w:rFonts w:eastAsiaTheme="minorEastAsia"/>
        </w:rPr>
        <w:t>several concepts, which have been recently developed and tested. It exploits energy recovery using dual-axis asymmetric SRF 1.3 GHz cavities, and due to using the non-emitting storage-ring the linear collider based on SRF dual axis cavities may operate either in high repetition or CW regimes (depending on specific design). The possibility to use the storage rings as photon factories to boost the research and societal impact of the project and to attract possible industrial partners is discussed. Th</w:t>
      </w:r>
      <w:r>
        <w:rPr>
          <w:rFonts w:eastAsiaTheme="minorEastAsia"/>
        </w:rPr>
        <w:t xml:space="preserve">e enabling photon factories operating together with the collider </w:t>
      </w:r>
      <w:r w:rsidRPr="005B233B">
        <w:rPr>
          <w:rFonts w:eastAsiaTheme="minorEastAsia"/>
        </w:rPr>
        <w:t xml:space="preserve">will make the project more attractive for countries to host it as it may to help boost R&amp;D in other areas like nano-electronics, biology, etc. and by inviting industrial partners, the </w:t>
      </w:r>
      <w:r>
        <w:rPr>
          <w:rFonts w:eastAsiaTheme="minorEastAsia"/>
        </w:rPr>
        <w:t xml:space="preserve">total </w:t>
      </w:r>
      <w:r w:rsidRPr="005B233B">
        <w:rPr>
          <w:rFonts w:eastAsiaTheme="minorEastAsia"/>
        </w:rPr>
        <w:t>cost to the member-states can be smaller as compared with the similar cost for ILC.</w:t>
      </w:r>
      <w:r>
        <w:rPr>
          <w:rFonts w:eastAsiaTheme="minorEastAsia"/>
        </w:rPr>
        <w:t xml:space="preserve"> </w:t>
      </w:r>
    </w:p>
    <w:p w14:paraId="6F0808F8" w14:textId="57DA2E2C" w:rsidR="005B233B" w:rsidRDefault="005B233B" w:rsidP="005B233B">
      <w:pPr>
        <w:pStyle w:val="BodyTextIndent"/>
        <w:ind w:firstLine="0"/>
        <w:jc w:val="center"/>
        <w:rPr>
          <w:b/>
          <w:bCs/>
          <w:sz w:val="24"/>
          <w:szCs w:val="24"/>
        </w:rPr>
      </w:pPr>
      <w:r w:rsidRPr="005B233B">
        <w:rPr>
          <w:b/>
          <w:bCs/>
          <w:sz w:val="24"/>
          <w:szCs w:val="24"/>
        </w:rPr>
        <w:t>ACKNOWLEDGEMENT</w:t>
      </w:r>
    </w:p>
    <w:p w14:paraId="72198805" w14:textId="4C57B244" w:rsidR="0021164C" w:rsidRDefault="00825273" w:rsidP="0021164C">
      <w:pPr>
        <w:pStyle w:val="BodyTextIndent"/>
        <w:ind w:firstLine="0"/>
        <w:rPr>
          <w:rStyle w:val="JACoWBodyTextIndentChar"/>
        </w:rPr>
      </w:pPr>
      <w:r w:rsidRPr="0021164C">
        <w:rPr>
          <w:rStyle w:val="JACoWBodyTextIndentChar"/>
        </w:rPr>
        <w:t>Prof I. V. Konoplev would like to thank STFC UK</w:t>
      </w:r>
      <w:r>
        <w:rPr>
          <w:rStyle w:val="JACoWBodyTextIndentChar"/>
        </w:rPr>
        <w:t>RI</w:t>
      </w:r>
      <w:r w:rsidRPr="0021164C">
        <w:rPr>
          <w:rStyle w:val="JACoWBodyTextIndentChar"/>
        </w:rPr>
        <w:t xml:space="preserve"> for partial support via grant (The John Adams Institute for Accelerator Science, ST/P002048/1</w:t>
      </w:r>
      <w:r>
        <w:rPr>
          <w:rStyle w:val="JACoWBodyTextIndentChar"/>
        </w:rPr>
        <w:t>),</w:t>
      </w:r>
      <w:r w:rsidR="0021164C" w:rsidRPr="0021164C">
        <w:rPr>
          <w:rStyle w:val="JACoWBodyTextIndentChar"/>
        </w:rPr>
        <w:t xml:space="preserve"> Sevastopol State University for partial support of the work via internal grant </w:t>
      </w:r>
      <w:bookmarkStart w:id="9" w:name="_Hlk116215841"/>
      <w:r w:rsidR="0021164C" w:rsidRPr="0021164C">
        <w:rPr>
          <w:rStyle w:val="JACoWBodyTextIndentChar"/>
        </w:rPr>
        <w:t>(42-01-09/169/2021-3)</w:t>
      </w:r>
      <w:bookmarkEnd w:id="9"/>
      <w:r w:rsidR="0021164C" w:rsidRPr="0021164C">
        <w:rPr>
          <w:rStyle w:val="JACoWBodyTextIndentChar"/>
        </w:rPr>
        <w:t xml:space="preserve">. Work at Jefferson Lab has been supported by U.S. DOE under contracts DE-AC05-06OR23177 and DE-SC0012704. </w:t>
      </w:r>
    </w:p>
    <w:p w14:paraId="2E16D744" w14:textId="1AE8E777" w:rsidR="00927E64" w:rsidRPr="0021164C" w:rsidRDefault="0021164C" w:rsidP="0021164C">
      <w:pPr>
        <w:pStyle w:val="JACoWSubsectionHeading"/>
        <w:spacing w:before="0"/>
        <w:jc w:val="center"/>
        <w:rPr>
          <w:b/>
          <w:bCs w:val="0"/>
        </w:rPr>
      </w:pPr>
      <w:r w:rsidRPr="0021164C">
        <w:rPr>
          <w:b/>
          <w:bCs w:val="0"/>
        </w:rPr>
        <w:t>REFERENCES</w:t>
      </w:r>
    </w:p>
    <w:p w14:paraId="3D4D0DDE" w14:textId="1C0FD7BC" w:rsidR="00927E64" w:rsidRPr="009E6644" w:rsidRDefault="00C42D1C" w:rsidP="001517C2">
      <w:pPr>
        <w:pStyle w:val="JACoWReferencewhen9Refs"/>
      </w:pPr>
      <w:r>
        <w:t>[1]</w:t>
      </w:r>
      <w:r>
        <w:tab/>
      </w:r>
      <w:r w:rsidR="00C76084" w:rsidRPr="00C76084">
        <w:t xml:space="preserve">V. </w:t>
      </w:r>
      <w:proofErr w:type="spellStart"/>
      <w:r w:rsidR="00C76084" w:rsidRPr="00C76084">
        <w:t>Shiltsev</w:t>
      </w:r>
      <w:proofErr w:type="spellEnd"/>
      <w:r w:rsidR="00C76084" w:rsidRPr="00C76084">
        <w:t>, F. Zimmermann, “Modern and Future Colliders”,  FERMILAB-PUB-19-481-AD-APC</w:t>
      </w:r>
      <w:r w:rsidR="00C76084">
        <w:t xml:space="preserve"> </w:t>
      </w:r>
      <w:r w:rsidR="00C76084" w:rsidRPr="00C76084">
        <w:t>(2020) https://lss.fnal.gov/archive/2019/pub/fermilab-pub-19-481-ad-apc.pdf</w:t>
      </w:r>
    </w:p>
    <w:p w14:paraId="5019C009" w14:textId="1E18F54E" w:rsidR="0041146C" w:rsidRPr="00AB6418" w:rsidRDefault="00C42D1C" w:rsidP="001517C2">
      <w:pPr>
        <w:pStyle w:val="JACoWReferencewhen9Refs"/>
        <w:rPr>
          <w:i/>
          <w:iCs/>
        </w:rPr>
      </w:pPr>
      <w:r>
        <w:t>[2]</w:t>
      </w:r>
      <w:r>
        <w:tab/>
      </w:r>
      <w:r w:rsidR="00C76084" w:rsidRPr="00AB6418">
        <w:rPr>
          <w:rStyle w:val="JACoWReferenceItalicsChar"/>
          <w:i w:val="0"/>
          <w:iCs/>
        </w:rPr>
        <w:t xml:space="preserve">M. </w:t>
      </w:r>
      <w:proofErr w:type="spellStart"/>
      <w:r w:rsidR="00C76084" w:rsidRPr="00AB6418">
        <w:rPr>
          <w:rStyle w:val="JACoWReferenceItalicsChar"/>
          <w:i w:val="0"/>
          <w:iCs/>
        </w:rPr>
        <w:t>Benedikt</w:t>
      </w:r>
      <w:proofErr w:type="spellEnd"/>
      <w:r w:rsidR="00C76084" w:rsidRPr="00AB6418">
        <w:rPr>
          <w:rStyle w:val="JACoWReferenceItalicsChar"/>
          <w:i w:val="0"/>
          <w:iCs/>
        </w:rPr>
        <w:t>, et al., “FCC-</w:t>
      </w:r>
      <w:proofErr w:type="spellStart"/>
      <w:r w:rsidR="00C76084" w:rsidRPr="00AB6418">
        <w:rPr>
          <w:rStyle w:val="JACoWReferenceItalicsChar"/>
          <w:i w:val="0"/>
          <w:iCs/>
        </w:rPr>
        <w:t>ee</w:t>
      </w:r>
      <w:proofErr w:type="spellEnd"/>
      <w:r w:rsidR="00C76084" w:rsidRPr="00AB6418">
        <w:rPr>
          <w:rStyle w:val="JACoWReferenceItalicsChar"/>
          <w:i w:val="0"/>
          <w:iCs/>
        </w:rPr>
        <w:t>: the lepton collider”, Eur. Phys. J. Spec. Top. 228, p.261, (2019)</w:t>
      </w:r>
      <w:r w:rsidR="00927E64" w:rsidRPr="00AB6418">
        <w:rPr>
          <w:i/>
          <w:iCs/>
        </w:rPr>
        <w:t>.</w:t>
      </w:r>
    </w:p>
    <w:p w14:paraId="3E8784BB" w14:textId="321F36CC" w:rsidR="00C76084" w:rsidRDefault="00C76084" w:rsidP="001517C2">
      <w:pPr>
        <w:pStyle w:val="JACoWReferencewhen9Refs"/>
      </w:pPr>
      <w:r>
        <w:t>[3]</w:t>
      </w:r>
      <w:r w:rsidRPr="00C76084">
        <w:t xml:space="preserve"> E.C. </w:t>
      </w:r>
      <w:proofErr w:type="spellStart"/>
      <w:r w:rsidRPr="00C76084">
        <w:t>Aschenauer</w:t>
      </w:r>
      <w:proofErr w:type="spellEnd"/>
      <w:r w:rsidRPr="00C76084">
        <w:t>, et al., “</w:t>
      </w:r>
      <w:proofErr w:type="spellStart"/>
      <w:r w:rsidRPr="00C76084">
        <w:t>eRHIC</w:t>
      </w:r>
      <w:proofErr w:type="spellEnd"/>
      <w:r w:rsidRPr="00C76084">
        <w:t xml:space="preserve"> Design Study: An Electron-Ion Collider at BNL”, arXiv:1409 .1633, (2014)</w:t>
      </w:r>
      <w:r>
        <w:t xml:space="preserve"> </w:t>
      </w:r>
    </w:p>
    <w:p w14:paraId="728608F9" w14:textId="7E1B2C3E" w:rsidR="00C76084" w:rsidRDefault="00C76084" w:rsidP="001517C2">
      <w:pPr>
        <w:pStyle w:val="JACoWReferencewhen9Refs"/>
      </w:pPr>
      <w:r>
        <w:t>[4]</w:t>
      </w:r>
      <w:r w:rsidRPr="00C76084">
        <w:rPr>
          <w:rFonts w:asciiTheme="minorHAnsi" w:eastAsiaTheme="minorEastAsia" w:hAnsiTheme="minorHAnsi" w:cstheme="minorBidi"/>
          <w:kern w:val="0"/>
          <w:sz w:val="22"/>
          <w:szCs w:val="22"/>
          <w14:cntxtAlts w14:val="0"/>
        </w:rPr>
        <w:t xml:space="preserve"> </w:t>
      </w:r>
      <w:r w:rsidRPr="00C76084">
        <w:t xml:space="preserve">C. </w:t>
      </w:r>
      <w:proofErr w:type="spellStart"/>
      <w:r w:rsidRPr="00C76084">
        <w:t>Adolphsen</w:t>
      </w:r>
      <w:proofErr w:type="spellEnd"/>
      <w:r w:rsidRPr="00C76084">
        <w:t xml:space="preserve">, et al., “The International Linear Collider Technical Design Report”,  Volume 3.ii, Accelerator Baseline Design, (2013) </w:t>
      </w:r>
      <w:hyperlink r:id="rId21" w:history="1">
        <w:r w:rsidRPr="00C76084">
          <w:rPr>
            <w:rStyle w:val="Hyperlink"/>
          </w:rPr>
          <w:t>http://www.linearcollider.org/ILC/GDE/technical-design-documentation</w:t>
        </w:r>
      </w:hyperlink>
    </w:p>
    <w:p w14:paraId="737D54CF" w14:textId="68DB2CE2" w:rsidR="00C76084" w:rsidRDefault="00C76084" w:rsidP="001517C2">
      <w:pPr>
        <w:pStyle w:val="JACoWReferencewhen9Refs"/>
      </w:pPr>
      <w:r>
        <w:t>[5]</w:t>
      </w:r>
      <w:r w:rsidR="005618FF" w:rsidRPr="005618FF">
        <w:t xml:space="preserve"> V. N. Litvinenko</w:t>
      </w:r>
      <w:r w:rsidR="005618FF">
        <w:t>, et al.</w:t>
      </w:r>
      <w:r w:rsidR="005618FF" w:rsidRPr="005618FF">
        <w:t xml:space="preserve">, “High-energy high-luminosity </w:t>
      </w:r>
      <w:proofErr w:type="spellStart"/>
      <w:r w:rsidR="005618FF" w:rsidRPr="005618FF">
        <w:t>e+e−collider</w:t>
      </w:r>
      <w:proofErr w:type="spellEnd"/>
      <w:r w:rsidR="005618FF" w:rsidRPr="005618FF">
        <w:t xml:space="preserve"> using energy-recovery </w:t>
      </w:r>
      <w:proofErr w:type="spellStart"/>
      <w:r w:rsidR="005618FF" w:rsidRPr="005618FF">
        <w:t>linacs</w:t>
      </w:r>
      <w:proofErr w:type="spellEnd"/>
      <w:r w:rsidR="005618FF" w:rsidRPr="005618FF">
        <w:t>”, Physics Letters B 804, 135394 (2020)</w:t>
      </w:r>
    </w:p>
    <w:p w14:paraId="0E687DA3" w14:textId="2C1ADF00" w:rsidR="005618FF" w:rsidRDefault="00C42D1C" w:rsidP="005618FF">
      <w:pPr>
        <w:pStyle w:val="JACoWReferencewhen9Refs"/>
        <w:rPr>
          <w:rStyle w:val="JACoWReferenceurldoiChar"/>
          <w:rFonts w:ascii="Times New Roman" w:hAnsi="Times New Roman" w:cs="Times New Roman"/>
          <w:sz w:val="18"/>
          <w:szCs w:val="18"/>
        </w:rPr>
      </w:pPr>
      <w:r>
        <w:t>[</w:t>
      </w:r>
      <w:r w:rsidR="005618FF">
        <w:t>6</w:t>
      </w:r>
      <w:r>
        <w:t>]</w:t>
      </w:r>
      <w:r w:rsidRPr="00C76084">
        <w:rPr>
          <w:szCs w:val="18"/>
        </w:rPr>
        <w:tab/>
      </w:r>
      <w:r w:rsidR="00C76084" w:rsidRPr="00C76084">
        <w:rPr>
          <w:rStyle w:val="JACoWReferenceurldoiChar"/>
          <w:rFonts w:ascii="Times New Roman" w:hAnsi="Times New Roman" w:cs="Times New Roman"/>
          <w:sz w:val="18"/>
          <w:szCs w:val="18"/>
        </w:rPr>
        <w:t xml:space="preserve">V. </w:t>
      </w:r>
      <w:proofErr w:type="spellStart"/>
      <w:r w:rsidR="00C76084" w:rsidRPr="00C76084">
        <w:rPr>
          <w:rStyle w:val="JACoWReferenceurldoiChar"/>
          <w:rFonts w:ascii="Times New Roman" w:hAnsi="Times New Roman" w:cs="Times New Roman"/>
          <w:sz w:val="18"/>
          <w:szCs w:val="18"/>
        </w:rPr>
        <w:t>Telnov</w:t>
      </w:r>
      <w:proofErr w:type="spellEnd"/>
      <w:r w:rsidR="00C76084" w:rsidRPr="00C76084">
        <w:rPr>
          <w:rStyle w:val="JACoWReferenceurldoiChar"/>
          <w:rFonts w:ascii="Times New Roman" w:hAnsi="Times New Roman" w:cs="Times New Roman"/>
          <w:sz w:val="18"/>
          <w:szCs w:val="18"/>
        </w:rPr>
        <w:t xml:space="preserve">, </w:t>
      </w:r>
      <w:r w:rsidR="005618FF">
        <w:rPr>
          <w:rStyle w:val="JACoWReferenceurldoiChar"/>
          <w:rFonts w:ascii="Times New Roman" w:hAnsi="Times New Roman" w:cs="Times New Roman"/>
          <w:sz w:val="18"/>
          <w:szCs w:val="18"/>
        </w:rPr>
        <w:t>“</w:t>
      </w:r>
      <w:r w:rsidR="00C76084" w:rsidRPr="00C76084">
        <w:rPr>
          <w:i/>
          <w:iCs/>
          <w:szCs w:val="18"/>
        </w:rPr>
        <w:t xml:space="preserve">A high-luminosity superconducting twin </w:t>
      </w:r>
      <w:proofErr w:type="spellStart"/>
      <w:r w:rsidR="00C76084" w:rsidRPr="00C76084">
        <w:rPr>
          <w:i/>
          <w:iCs/>
          <w:szCs w:val="18"/>
        </w:rPr>
        <w:t>e</w:t>
      </w:r>
      <w:r w:rsidR="00C76084">
        <w:rPr>
          <w:i/>
          <w:iCs/>
          <w:szCs w:val="18"/>
          <w:vertAlign w:val="superscript"/>
        </w:rPr>
        <w:t>+</w:t>
      </w:r>
      <w:r w:rsidR="00C76084" w:rsidRPr="00C76084">
        <w:rPr>
          <w:i/>
          <w:iCs/>
          <w:szCs w:val="18"/>
        </w:rPr>
        <w:t>e</w:t>
      </w:r>
      <w:proofErr w:type="spellEnd"/>
      <w:r w:rsidR="00C76084">
        <w:rPr>
          <w:i/>
          <w:iCs/>
          <w:szCs w:val="18"/>
          <w:vertAlign w:val="superscript"/>
        </w:rPr>
        <w:t>-</w:t>
      </w:r>
      <w:r w:rsidR="00C76084" w:rsidRPr="00C76084">
        <w:rPr>
          <w:szCs w:val="18"/>
        </w:rPr>
        <w:t xml:space="preserve"> </w:t>
      </w:r>
      <w:r w:rsidR="00C76084" w:rsidRPr="00C76084">
        <w:rPr>
          <w:i/>
          <w:iCs/>
          <w:szCs w:val="18"/>
        </w:rPr>
        <w:t>linear collider with energy recovery</w:t>
      </w:r>
      <w:r w:rsidR="005618FF">
        <w:rPr>
          <w:i/>
          <w:iCs/>
          <w:szCs w:val="18"/>
        </w:rPr>
        <w:t>”</w:t>
      </w:r>
      <w:r w:rsidR="00C76084" w:rsidRPr="00C76084">
        <w:rPr>
          <w:szCs w:val="18"/>
        </w:rPr>
        <w:t>,</w:t>
      </w:r>
      <w:r w:rsidR="005618FF">
        <w:rPr>
          <w:szCs w:val="18"/>
        </w:rPr>
        <w:t xml:space="preserve"> </w:t>
      </w:r>
      <w:r w:rsidR="00C76084" w:rsidRPr="00C76084">
        <w:rPr>
          <w:rStyle w:val="JACoWReferenceurldoiChar"/>
          <w:rFonts w:ascii="Times New Roman" w:hAnsi="Times New Roman" w:cs="Times New Roman"/>
          <w:sz w:val="18"/>
          <w:szCs w:val="18"/>
        </w:rPr>
        <w:t>Journal of Instrumentation 16, P12025 (2021)</w:t>
      </w:r>
    </w:p>
    <w:p w14:paraId="2D171B58" w14:textId="77777777" w:rsidR="005618FF" w:rsidRDefault="005618FF" w:rsidP="00A0570E">
      <w:pPr>
        <w:pStyle w:val="JACoWReferencewhen9Refs"/>
        <w:ind w:left="284" w:hanging="284"/>
        <w:rPr>
          <w:rStyle w:val="JACoWReferenceurldoiChar"/>
          <w:rFonts w:ascii="Times New Roman" w:hAnsi="Times New Roman" w:cs="Times New Roman"/>
          <w:sz w:val="18"/>
          <w:szCs w:val="18"/>
        </w:rPr>
      </w:pPr>
      <w:r>
        <w:rPr>
          <w:rStyle w:val="JACoWReferenceurldoiChar"/>
          <w:rFonts w:ascii="Times New Roman" w:hAnsi="Times New Roman" w:cs="Times New Roman"/>
          <w:sz w:val="18"/>
          <w:szCs w:val="18"/>
        </w:rPr>
        <w:t>[7] I.V. Konoplev, et al., “</w:t>
      </w:r>
      <w:r w:rsidRPr="005618FF">
        <w:rPr>
          <w:rStyle w:val="JACoWReferenceurldoiChar"/>
          <w:rFonts w:ascii="Times New Roman" w:hAnsi="Times New Roman" w:cs="Times New Roman"/>
          <w:sz w:val="18"/>
          <w:szCs w:val="18"/>
        </w:rPr>
        <w:t>Novel Concept of Circular-Linear Energy Recovery Accelerator to Probe the Energy Frontier</w:t>
      </w:r>
      <w:r>
        <w:rPr>
          <w:rStyle w:val="JACoWReferenceurldoiChar"/>
          <w:rFonts w:ascii="Times New Roman" w:hAnsi="Times New Roman" w:cs="Times New Roman"/>
          <w:sz w:val="18"/>
          <w:szCs w:val="18"/>
        </w:rPr>
        <w:t xml:space="preserve">”, </w:t>
      </w:r>
      <w:r w:rsidRPr="005618FF">
        <w:rPr>
          <w:rStyle w:val="JACoWReferenceurldoiChar"/>
          <w:rFonts w:ascii="Times New Roman" w:hAnsi="Times New Roman" w:cs="Times New Roman"/>
          <w:sz w:val="18"/>
          <w:szCs w:val="18"/>
        </w:rPr>
        <w:t>arXiv:2108.09111 [</w:t>
      </w:r>
      <w:proofErr w:type="spellStart"/>
      <w:r w:rsidRPr="005618FF">
        <w:rPr>
          <w:rStyle w:val="JACoWReferenceurldoiChar"/>
          <w:rFonts w:ascii="Times New Roman" w:hAnsi="Times New Roman" w:cs="Times New Roman"/>
          <w:sz w:val="18"/>
          <w:szCs w:val="18"/>
        </w:rPr>
        <w:t>physics.acc-ph</w:t>
      </w:r>
      <w:proofErr w:type="spellEnd"/>
      <w:r w:rsidRPr="005618FF">
        <w:rPr>
          <w:rStyle w:val="JACoWReferenceurldoiChar"/>
          <w:rFonts w:ascii="Times New Roman" w:hAnsi="Times New Roman" w:cs="Times New Roman"/>
          <w:sz w:val="18"/>
          <w:szCs w:val="18"/>
        </w:rPr>
        <w:t>]</w:t>
      </w:r>
      <w:r>
        <w:rPr>
          <w:rStyle w:val="JACoWReferenceurldoiChar"/>
          <w:rFonts w:ascii="Times New Roman" w:hAnsi="Times New Roman" w:cs="Times New Roman"/>
          <w:sz w:val="18"/>
          <w:szCs w:val="18"/>
        </w:rPr>
        <w:t xml:space="preserve">  (2021)</w:t>
      </w:r>
    </w:p>
    <w:p w14:paraId="7F470361" w14:textId="77777777" w:rsidR="005618FF" w:rsidRDefault="005618FF" w:rsidP="005618FF">
      <w:pPr>
        <w:pStyle w:val="JACoWReferencewhen9Refs"/>
        <w:rPr>
          <w:rStyle w:val="JACoWReferenceurldoiChar"/>
          <w:rFonts w:ascii="Times New Roman" w:hAnsi="Times New Roman" w:cs="Times New Roman"/>
          <w:sz w:val="18"/>
          <w:szCs w:val="18"/>
        </w:rPr>
      </w:pPr>
      <w:r>
        <w:rPr>
          <w:rStyle w:val="JACoWReferenceurldoiChar"/>
          <w:rFonts w:ascii="Times New Roman" w:hAnsi="Times New Roman" w:cs="Times New Roman"/>
          <w:sz w:val="18"/>
          <w:szCs w:val="18"/>
        </w:rPr>
        <w:t>[8] I. V. Konoplev, et al., “</w:t>
      </w:r>
      <w:r w:rsidRPr="005618FF">
        <w:rPr>
          <w:rStyle w:val="JACoWReferenceurldoiChar"/>
          <w:rFonts w:ascii="Times New Roman" w:hAnsi="Times New Roman" w:cs="Times New Roman"/>
          <w:sz w:val="18"/>
          <w:szCs w:val="18"/>
        </w:rPr>
        <w:t>Concept of circular-linear energy recovery accelerator to probe the energy frontier</w:t>
      </w:r>
      <w:r w:rsidR="00A0570E">
        <w:rPr>
          <w:rStyle w:val="JACoWReferenceurldoiChar"/>
          <w:rFonts w:ascii="Times New Roman" w:hAnsi="Times New Roman" w:cs="Times New Roman"/>
          <w:sz w:val="18"/>
          <w:szCs w:val="18"/>
        </w:rPr>
        <w:t xml:space="preserve">”, </w:t>
      </w:r>
      <w:r>
        <w:rPr>
          <w:rStyle w:val="JACoWReferenceurldoiChar"/>
          <w:rFonts w:ascii="Times New Roman" w:hAnsi="Times New Roman" w:cs="Times New Roman"/>
          <w:sz w:val="18"/>
          <w:szCs w:val="18"/>
        </w:rPr>
        <w:t xml:space="preserve"> </w:t>
      </w:r>
      <w:r w:rsidR="00A0570E" w:rsidRPr="00A0570E">
        <w:rPr>
          <w:rStyle w:val="JACoWReferenceurldoiChar"/>
          <w:rFonts w:ascii="Times New Roman" w:hAnsi="Times New Roman" w:cs="Times New Roman"/>
          <w:sz w:val="18"/>
          <w:szCs w:val="18"/>
        </w:rPr>
        <w:t>JINST 17</w:t>
      </w:r>
      <w:r w:rsidR="00A0570E">
        <w:rPr>
          <w:rStyle w:val="JACoWReferenceurldoiChar"/>
          <w:rFonts w:ascii="Times New Roman" w:hAnsi="Times New Roman" w:cs="Times New Roman"/>
          <w:sz w:val="18"/>
          <w:szCs w:val="18"/>
        </w:rPr>
        <w:t>,</w:t>
      </w:r>
      <w:r w:rsidR="00A0570E" w:rsidRPr="00A0570E">
        <w:rPr>
          <w:rStyle w:val="JACoWReferenceurldoiChar"/>
          <w:rFonts w:ascii="Times New Roman" w:hAnsi="Times New Roman" w:cs="Times New Roman"/>
          <w:sz w:val="18"/>
          <w:szCs w:val="18"/>
        </w:rPr>
        <w:t xml:space="preserve"> P01011</w:t>
      </w:r>
      <w:r w:rsidR="00A0570E">
        <w:rPr>
          <w:rStyle w:val="JACoWReferenceurldoiChar"/>
          <w:rFonts w:ascii="Times New Roman" w:hAnsi="Times New Roman" w:cs="Times New Roman"/>
          <w:sz w:val="18"/>
          <w:szCs w:val="18"/>
        </w:rPr>
        <w:t xml:space="preserve"> (2022)</w:t>
      </w:r>
    </w:p>
    <w:p w14:paraId="47041D61" w14:textId="77777777" w:rsidR="00A0570E" w:rsidRDefault="00A0570E" w:rsidP="005618FF">
      <w:pPr>
        <w:pStyle w:val="JACoWReferencewhen9Refs"/>
      </w:pPr>
      <w:r>
        <w:rPr>
          <w:rStyle w:val="JACoWReferenceurldoiChar"/>
          <w:rFonts w:ascii="Times New Roman" w:hAnsi="Times New Roman" w:cs="Times New Roman"/>
          <w:sz w:val="18"/>
          <w:szCs w:val="18"/>
        </w:rPr>
        <w:t>[9]</w:t>
      </w:r>
      <w:r w:rsidRPr="00A0570E">
        <w:t xml:space="preserve"> </w:t>
      </w:r>
      <w:r>
        <w:t xml:space="preserve">V. </w:t>
      </w:r>
      <w:proofErr w:type="spellStart"/>
      <w:r>
        <w:t>Cnudde</w:t>
      </w:r>
      <w:proofErr w:type="spellEnd"/>
      <w:r>
        <w:t xml:space="preserve"> et al., High-resolution x-ray computed tomography in geosciences: A review of the current technology and applications, Earth-Sci. Rev. 123, 1 (2013)</w:t>
      </w:r>
    </w:p>
    <w:p w14:paraId="00DDE1B5" w14:textId="77777777" w:rsidR="00650D03" w:rsidRDefault="00650D03" w:rsidP="00650D03">
      <w:pPr>
        <w:pStyle w:val="JACoWReferencewhen9Refs"/>
      </w:pPr>
      <w:r>
        <w:t xml:space="preserve">[10] I. </w:t>
      </w:r>
      <w:proofErr w:type="spellStart"/>
      <w:r>
        <w:t>Morichika</w:t>
      </w:r>
      <w:proofErr w:type="spellEnd"/>
      <w:r>
        <w:t>, et al., “Molecular ground-state dissociation in the condensed phase employing plasmonic field enhancement of chirped mid-infrared pulses, Nature Comm. 10, 3893</w:t>
      </w:r>
      <w:r w:rsidRPr="00650D03">
        <w:t xml:space="preserve"> </w:t>
      </w:r>
      <w:r>
        <w:t>(2019);  doi:10.1038/s41467-019-11902-6.</w:t>
      </w:r>
    </w:p>
    <w:p w14:paraId="1BAEF76D" w14:textId="4B3332C5" w:rsidR="00650D03" w:rsidRDefault="00650D03" w:rsidP="00650D03">
      <w:pPr>
        <w:pStyle w:val="JACoWReferencewhen9Refs"/>
      </w:pPr>
      <w:r>
        <w:t>[1</w:t>
      </w:r>
      <w:r w:rsidR="00825273">
        <w:t>1</w:t>
      </w:r>
      <w:r>
        <w:t>]</w:t>
      </w:r>
      <w:r w:rsidRPr="00650D03">
        <w:t xml:space="preserve"> N. Nakamura</w:t>
      </w:r>
      <w:r>
        <w:t xml:space="preserve">, et al., “Challenges towards industrialization of the ERL-FEL light source for EUV lithography”, 10 IPAC (2019), </w:t>
      </w:r>
      <w:proofErr w:type="spellStart"/>
      <w:r>
        <w:t>JACoW</w:t>
      </w:r>
      <w:proofErr w:type="spellEnd"/>
      <w:r>
        <w:t xml:space="preserve"> Publishing, </w:t>
      </w:r>
      <w:hyperlink r:id="rId22" w:history="1">
        <w:r w:rsidRPr="00813D3D">
          <w:rPr>
            <w:rStyle w:val="Hyperlink"/>
          </w:rPr>
          <w:t>https://accelconf.web.cern.ch/ipac2019/papers/thpmp013.pdf</w:t>
        </w:r>
      </w:hyperlink>
    </w:p>
    <w:p w14:paraId="6D79A9A6" w14:textId="68F389BC" w:rsidR="00650D03" w:rsidRDefault="00650D03" w:rsidP="00280988">
      <w:pPr>
        <w:pStyle w:val="JACoWReferencewhen9Refs"/>
      </w:pPr>
      <w:r>
        <w:t>[1</w:t>
      </w:r>
      <w:r w:rsidR="00825273">
        <w:t>2</w:t>
      </w:r>
      <w:r>
        <w:t>]</w:t>
      </w:r>
      <w:r w:rsidRPr="00650D03">
        <w:t xml:space="preserve"> </w:t>
      </w:r>
      <w:r>
        <w:t>I. V. Konoplev,</w:t>
      </w:r>
      <w:r w:rsidR="00280988">
        <w:t xml:space="preserve"> </w:t>
      </w:r>
      <w:r>
        <w:t xml:space="preserve">et al., </w:t>
      </w:r>
      <w:r w:rsidR="00280988">
        <w:t>“</w:t>
      </w:r>
      <w:r>
        <w:t>Compact, energy efficient superconducting asymmetric ERL for ultrahigh fluxes of x-ray</w:t>
      </w:r>
      <w:r w:rsidR="00280988">
        <w:t xml:space="preserve"> </w:t>
      </w:r>
      <w:r>
        <w:t>and THz</w:t>
      </w:r>
      <w:r w:rsidR="00280988">
        <w:t>”</w:t>
      </w:r>
      <w:r>
        <w:t>, AIP Conf. Proc. 1812, 100004 (2017).</w:t>
      </w:r>
    </w:p>
    <w:p w14:paraId="68578503" w14:textId="7923E6A4" w:rsidR="00280988" w:rsidRDefault="00280988" w:rsidP="00280988">
      <w:pPr>
        <w:pStyle w:val="JACoWReferencewhen9Refs"/>
      </w:pPr>
      <w:r>
        <w:t>[1</w:t>
      </w:r>
      <w:r w:rsidR="00825273">
        <w:t>3</w:t>
      </w:r>
      <w:r>
        <w:t>] R. Ainsworth, at al., “Asymmetric superconducting rf structure”, PCT Application No. PCT/GB2015/053565 (2015).</w:t>
      </w:r>
    </w:p>
    <w:p w14:paraId="5790B734" w14:textId="3D5A0752" w:rsidR="00280988" w:rsidRDefault="00280988" w:rsidP="00280988">
      <w:pPr>
        <w:pStyle w:val="JACoWReferencewhen9Refs"/>
        <w:ind w:left="284" w:hanging="284"/>
      </w:pPr>
      <w:r>
        <w:t>[1</w:t>
      </w:r>
      <w:r w:rsidR="00825273">
        <w:t>4</w:t>
      </w:r>
      <w:r>
        <w:t>]</w:t>
      </w:r>
      <w:r w:rsidRPr="00280988">
        <w:t xml:space="preserve"> I. V. Konoplev</w:t>
      </w:r>
      <w:r>
        <w:t>, et al.,”</w:t>
      </w:r>
      <w:r w:rsidRPr="00280988">
        <w:t xml:space="preserve"> Experimental studies of 7-cell dual</w:t>
      </w:r>
      <w:r>
        <w:t xml:space="preserve"> </w:t>
      </w:r>
      <w:r w:rsidRPr="00280988">
        <w:t>axis asymmetric cavity for energy recovery linac</w:t>
      </w:r>
      <w:r>
        <w:t>”,</w:t>
      </w:r>
      <w:r w:rsidRPr="00280988">
        <w:t xml:space="preserve"> </w:t>
      </w:r>
      <w:r>
        <w:t>Phys. Rev. AB</w:t>
      </w:r>
      <w:r w:rsidRPr="00280988">
        <w:t xml:space="preserve"> 20, 103501 (2017)</w:t>
      </w:r>
    </w:p>
    <w:p w14:paraId="0EDA1445" w14:textId="0B899A32" w:rsidR="00280988" w:rsidRDefault="00280988" w:rsidP="00825273">
      <w:pPr>
        <w:pStyle w:val="JACoWReferencewhen9Refs"/>
        <w:ind w:left="284" w:hanging="284"/>
      </w:pPr>
      <w:r>
        <w:t>[1</w:t>
      </w:r>
      <w:r w:rsidR="00825273">
        <w:t>5</w:t>
      </w:r>
      <w:r>
        <w:t>]</w:t>
      </w:r>
      <w:r w:rsidRPr="00280988">
        <w:t xml:space="preserve"> I</w:t>
      </w:r>
      <w:r>
        <w:t>.</w:t>
      </w:r>
      <w:r w:rsidRPr="00280988">
        <w:t>V</w:t>
      </w:r>
      <w:r>
        <w:t>.</w:t>
      </w:r>
      <w:r w:rsidRPr="00280988">
        <w:t xml:space="preserve"> Konoplev</w:t>
      </w:r>
      <w:r>
        <w:t xml:space="preserve">, et al., </w:t>
      </w:r>
      <w:r w:rsidR="00825273">
        <w:t>“</w:t>
      </w:r>
      <w:r w:rsidR="00825273" w:rsidRPr="00825273">
        <w:t>Ultimate energy recovery from spent relativistic electron beam in energy recovery linear accelerators</w:t>
      </w:r>
      <w:r w:rsidR="00825273">
        <w:t>”, Phys. Rev. AB,</w:t>
      </w:r>
      <w:r w:rsidR="00825273" w:rsidRPr="00825273">
        <w:t xml:space="preserve"> 23, 071601 (2020)</w:t>
      </w:r>
    </w:p>
    <w:p w14:paraId="3B773552" w14:textId="65DA5387" w:rsidR="00825273" w:rsidRDefault="00825273" w:rsidP="00825273">
      <w:pPr>
        <w:pStyle w:val="JACoWReferencewhen9Refs"/>
      </w:pPr>
      <w:r>
        <w:t>[16] R. Ainsworth, et al., “Asymmetric dual axis energy recovery linac for ultrahigh flux sources of coherent x-ray and THz radiation: Investigations towards its ultimate performance, Phys. Rev. AB 19, 083502 (2016).</w:t>
      </w:r>
    </w:p>
    <w:p w14:paraId="67CBE5E2" w14:textId="721F9262" w:rsidR="00EE3D21" w:rsidRDefault="00EE3D21" w:rsidP="00EE3D21">
      <w:pPr>
        <w:pStyle w:val="JACoWReferencewhen9Refs"/>
      </w:pPr>
      <w:r>
        <w:t>[17]</w:t>
      </w:r>
      <w:r w:rsidRPr="00EE3D21">
        <w:t xml:space="preserve"> </w:t>
      </w:r>
      <w:r>
        <w:t xml:space="preserve">H. Park, et al., “Development of a superconducting twin axis cavity”, in Proceedings of LINAC2016, East Lansing, MI (2016), THPLR037, </w:t>
      </w:r>
      <w:hyperlink r:id="rId23" w:history="1">
        <w:r w:rsidRPr="00813D3D">
          <w:rPr>
            <w:rStyle w:val="Hyperlink"/>
          </w:rPr>
          <w:t>https://doi.org/10.18429/JACoW-LINAC2016-THPLR037</w:t>
        </w:r>
      </w:hyperlink>
    </w:p>
    <w:p w14:paraId="6CAD86C0" w14:textId="19CFF52B" w:rsidR="00EE3D21" w:rsidRDefault="00EE3D21" w:rsidP="00EE3D21">
      <w:pPr>
        <w:pStyle w:val="JACoWReferencewhen9Refs"/>
      </w:pPr>
      <w:r>
        <w:t>[18]</w:t>
      </w:r>
      <w:r w:rsidRPr="00EE3D21">
        <w:t xml:space="preserve"> </w:t>
      </w:r>
      <w:r>
        <w:t xml:space="preserve">S. U. De </w:t>
      </w:r>
      <w:proofErr w:type="spellStart"/>
      <w:r>
        <w:t>Silva,et</w:t>
      </w:r>
      <w:proofErr w:type="spellEnd"/>
      <w:r>
        <w:t xml:space="preserve"> al., “Electromagnetic design of a superconducting twin axis cavity”, in Proceedings of LINAC2016, East Lansing, MI (2016), MOPLR030, </w:t>
      </w:r>
      <w:hyperlink r:id="rId24" w:history="1">
        <w:r w:rsidR="00000AE9" w:rsidRPr="00813D3D">
          <w:rPr>
            <w:rStyle w:val="Hyperlink"/>
          </w:rPr>
          <w:t>https://doi.org/10.18429/JACoW-LINAC2016-MOPLR030</w:t>
        </w:r>
      </w:hyperlink>
    </w:p>
    <w:p w14:paraId="59FD32E9" w14:textId="03C35C2E" w:rsidR="00000AE9" w:rsidRDefault="00000AE9" w:rsidP="00EE3D21">
      <w:pPr>
        <w:pStyle w:val="JACoWReferencewhen9Refs"/>
      </w:pPr>
      <w:r>
        <w:t>[19]</w:t>
      </w:r>
      <w:r w:rsidRPr="00000AE9">
        <w:rPr>
          <w:rFonts w:ascii="Times" w:hAnsi="Times"/>
          <w:kern w:val="0"/>
          <w:sz w:val="20"/>
          <w14:cntxtAlts w14:val="0"/>
        </w:rPr>
        <w:t xml:space="preserve"> </w:t>
      </w:r>
      <w:r w:rsidRPr="00000AE9">
        <w:t xml:space="preserve">A. </w:t>
      </w:r>
      <w:proofErr w:type="spellStart"/>
      <w:r w:rsidRPr="00000AE9">
        <w:t>Bartnik</w:t>
      </w:r>
      <w:proofErr w:type="spellEnd"/>
      <w:r w:rsidRPr="00000AE9">
        <w:t>,</w:t>
      </w:r>
      <w:r w:rsidR="00AB6418">
        <w:t xml:space="preserve"> et al., “</w:t>
      </w:r>
      <w:r w:rsidR="00AB6418" w:rsidRPr="00AB6418">
        <w:t xml:space="preserve">CBETA: First </w:t>
      </w:r>
      <w:proofErr w:type="spellStart"/>
      <w:r w:rsidR="00AB6418" w:rsidRPr="00AB6418">
        <w:t>Multipass</w:t>
      </w:r>
      <w:proofErr w:type="spellEnd"/>
      <w:r w:rsidR="00AB6418" w:rsidRPr="00AB6418">
        <w:t xml:space="preserve"> Superconducting Linear Accelerator with Energy Recovery</w:t>
      </w:r>
      <w:r w:rsidR="00AB6418">
        <w:t xml:space="preserve">”, </w:t>
      </w:r>
      <w:r w:rsidR="00AB6418" w:rsidRPr="00AB6418">
        <w:t>Phys. Rev. Letters</w:t>
      </w:r>
      <w:r w:rsidR="00AB6418">
        <w:t>,</w:t>
      </w:r>
      <w:r w:rsidR="00AB6418" w:rsidRPr="00AB6418">
        <w:t xml:space="preserve"> 125, 044803 (2020)</w:t>
      </w:r>
    </w:p>
    <w:p w14:paraId="226192E9" w14:textId="65372035" w:rsidR="00AB6418" w:rsidRDefault="00AB6418" w:rsidP="00EE3D21">
      <w:pPr>
        <w:pStyle w:val="JACoWReferencewhen9Refs"/>
      </w:pPr>
      <w:r>
        <w:t>[20]</w:t>
      </w:r>
      <w:r w:rsidRPr="00AB6418">
        <w:t xml:space="preserve"> D. </w:t>
      </w:r>
      <w:proofErr w:type="spellStart"/>
      <w:r w:rsidRPr="00AB6418">
        <w:t>Angal-Kalininet</w:t>
      </w:r>
      <w:proofErr w:type="spellEnd"/>
      <w:r w:rsidRPr="00AB6418">
        <w:t xml:space="preserve"> al., “PERLE. Powerful energy recovery linac for experiments. Conceptual design report”, J. Phys. G45, 065003 (2018)</w:t>
      </w:r>
    </w:p>
    <w:p w14:paraId="2D6B3BAB" w14:textId="52BB4911" w:rsidR="00AB6418" w:rsidRDefault="00AB6418" w:rsidP="00AB6418">
      <w:pPr>
        <w:pStyle w:val="JACoWReferencewhen9Refs"/>
      </w:pPr>
      <w:r>
        <w:t>[21] W. Lou et al., “Beam breakup current limit in multiturn energy recovery linear accelerators”, Phys. Rev. AB, 22, 112801</w:t>
      </w:r>
      <w:r w:rsidRPr="00AB6418">
        <w:t xml:space="preserve"> </w:t>
      </w:r>
      <w:r>
        <w:t>(2019)</w:t>
      </w:r>
    </w:p>
    <w:p w14:paraId="0F360735" w14:textId="77777777" w:rsidR="00AB6418" w:rsidRDefault="00AB6418" w:rsidP="00AB6418">
      <w:pPr>
        <w:pStyle w:val="JACoWReferencewhen9Refs"/>
      </w:pPr>
      <w:r>
        <w:t>[22]</w:t>
      </w:r>
      <w:r w:rsidRPr="00AB6418">
        <w:t xml:space="preserve"> </w:t>
      </w:r>
      <w:r>
        <w:t xml:space="preserve">P.F. Tavares et al., Commissioning and first-year operational results of the MAX IV 3 GeV ring, J. Synchrotron. </w:t>
      </w:r>
      <w:proofErr w:type="spellStart"/>
      <w:r>
        <w:t>Radiat</w:t>
      </w:r>
      <w:proofErr w:type="spellEnd"/>
      <w:r>
        <w:t xml:space="preserve">., 25, 1291 (2018) </w:t>
      </w:r>
    </w:p>
    <w:p w14:paraId="3B6DEF23" w14:textId="77777777" w:rsidR="00570E16" w:rsidRDefault="00000AE9" w:rsidP="00570E16">
      <w:pPr>
        <w:pStyle w:val="JACoWReferencewhen9Refs"/>
      </w:pPr>
      <w:r>
        <w:t>[</w:t>
      </w:r>
      <w:r w:rsidR="00AB6418">
        <w:t>23</w:t>
      </w:r>
      <w:r>
        <w:t xml:space="preserve">] S.A. Bogacz, Muon Acceleration Concepts for </w:t>
      </w:r>
      <w:proofErr w:type="spellStart"/>
      <w:r>
        <w:t>NuMAX</w:t>
      </w:r>
      <w:proofErr w:type="spellEnd"/>
      <w:r>
        <w:t>: “Dual-use” Linac and “</w:t>
      </w:r>
      <w:proofErr w:type="spellStart"/>
      <w:r>
        <w:t>Dogbone</w:t>
      </w:r>
      <w:proofErr w:type="spellEnd"/>
      <w:r>
        <w:t>” RLA, JINST</w:t>
      </w:r>
      <w:r w:rsidR="00AB6418">
        <w:t>,</w:t>
      </w:r>
      <w:r>
        <w:t xml:space="preserve"> 13</w:t>
      </w:r>
      <w:r w:rsidR="00AB6418">
        <w:t>,</w:t>
      </w:r>
      <w:r>
        <w:t xml:space="preserve"> P02002 </w:t>
      </w:r>
      <w:r w:rsidR="00AB6418">
        <w:t xml:space="preserve">(2018) </w:t>
      </w:r>
      <w:r>
        <w:t>[arXiv:1708.01274].</w:t>
      </w:r>
    </w:p>
    <w:p w14:paraId="4568E881" w14:textId="77777777" w:rsidR="00570E16" w:rsidRDefault="00570E16" w:rsidP="00570E16">
      <w:pPr>
        <w:pStyle w:val="JACoWReferencewhen9Refs"/>
        <w:ind w:left="284" w:hanging="284"/>
      </w:pPr>
      <w:r>
        <w:t>[24] J.S. Berg et al., Cost-effective design for a neutrino factory, Phys. Rev. AB, 9, 011001</w:t>
      </w:r>
      <w:r w:rsidRPr="00570E16">
        <w:t xml:space="preserve"> </w:t>
      </w:r>
      <w:r>
        <w:t>(2006)</w:t>
      </w:r>
    </w:p>
    <w:p w14:paraId="1D785E8F" w14:textId="77777777" w:rsidR="00570E16" w:rsidRDefault="00570E16" w:rsidP="00570E16">
      <w:pPr>
        <w:pStyle w:val="JACoWReferencewhen9Refs"/>
        <w:ind w:left="284" w:hanging="284"/>
      </w:pPr>
      <w:r>
        <w:t>[25]</w:t>
      </w:r>
      <w:r w:rsidRPr="00570E16">
        <w:t xml:space="preserve"> </w:t>
      </w:r>
      <w:r>
        <w:t xml:space="preserve">D. Brandt, H. Burkhardt, M. Lamont, S. </w:t>
      </w:r>
      <w:proofErr w:type="gramStart"/>
      <w:r>
        <w:t>Myers</w:t>
      </w:r>
      <w:proofErr w:type="gramEnd"/>
      <w:r>
        <w:t xml:space="preserve"> and J. Wenninger, Accelerator physics at LEP, Rept. Prog. Phys., 63, 939</w:t>
      </w:r>
      <w:r w:rsidRPr="00570E16">
        <w:t xml:space="preserve"> </w:t>
      </w:r>
      <w:r>
        <w:t>(2000)</w:t>
      </w:r>
    </w:p>
    <w:p w14:paraId="50F8433D" w14:textId="5BE8CBAF" w:rsidR="00AD5803" w:rsidRDefault="00570E16" w:rsidP="008E1067">
      <w:pPr>
        <w:pStyle w:val="JACoWReferencewhen9Refs"/>
        <w:ind w:left="284" w:hanging="284"/>
      </w:pPr>
      <w:r>
        <w:t>[26]</w:t>
      </w:r>
      <w:r w:rsidRPr="00570E16">
        <w:t xml:space="preserve"> P. Lebrun, An Introduction to Cryogenics, CERN-AT-2007-001 (2007</w:t>
      </w:r>
      <w:r w:rsidR="008E1067">
        <w:t>)</w:t>
      </w:r>
    </w:p>
    <w:p w14:paraId="0CDAD39E" w14:textId="41F4FC1C" w:rsidR="003B5966" w:rsidRDefault="003B5966" w:rsidP="008E1067">
      <w:pPr>
        <w:pStyle w:val="JACoWReferencewhen9Refs"/>
        <w:ind w:left="284" w:hanging="284"/>
      </w:pPr>
    </w:p>
    <w:p w14:paraId="6E78A259" w14:textId="4ECCF4F2" w:rsidR="003B5966" w:rsidRDefault="003B5966" w:rsidP="008E1067">
      <w:pPr>
        <w:pStyle w:val="JACoWReferencewhen9Refs"/>
        <w:ind w:left="284" w:hanging="284"/>
      </w:pPr>
      <w:r w:rsidRPr="0021164C">
        <w:rPr>
          <w:b/>
          <w:bCs/>
          <w:noProof/>
          <w:lang w:val="en-US"/>
        </w:rPr>
        <mc:AlternateContent>
          <mc:Choice Requires="wps">
            <w:drawing>
              <wp:anchor distT="0" distB="0" distL="114300" distR="114300" simplePos="0" relativeHeight="251690496" behindDoc="0" locked="0" layoutInCell="1" allowOverlap="0" wp14:anchorId="27DDC5BA" wp14:editId="01F733EF">
                <wp:simplePos x="0" y="0"/>
                <wp:positionH relativeFrom="column">
                  <wp:posOffset>0</wp:posOffset>
                </wp:positionH>
                <wp:positionV relativeFrom="page">
                  <wp:posOffset>9711690</wp:posOffset>
                </wp:positionV>
                <wp:extent cx="3009900" cy="342900"/>
                <wp:effectExtent l="0" t="0" r="0" b="0"/>
                <wp:wrapTopAndBottom/>
                <wp:docPr id="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03325" w14:textId="77B351D1" w:rsidR="003B5966" w:rsidRPr="003B5966" w:rsidRDefault="003B5966" w:rsidP="003B5966">
                            <w:pPr>
                              <w:pStyle w:val="BodyTextIndent"/>
                              <w:tabs>
                                <w:tab w:val="left" w:leader="underscore" w:pos="1800"/>
                              </w:tabs>
                              <w:ind w:firstLine="0"/>
                              <w:rPr>
                                <w:kern w:val="16"/>
                                <w:sz w:val="8"/>
                              </w:rPr>
                            </w:pPr>
                            <w:r>
                              <w:rPr>
                                <w:kern w:val="16"/>
                                <w:sz w:val="8"/>
                              </w:rPr>
                              <w:tab/>
                            </w:r>
                          </w:p>
                          <w:p w14:paraId="6AE6C7A3" w14:textId="4436321B" w:rsidR="003B5966" w:rsidRPr="00E56880" w:rsidRDefault="003B5966" w:rsidP="003B5966">
                            <w:pPr>
                              <w:pStyle w:val="JACoWFootnoteText"/>
                            </w:pPr>
                            <w:r w:rsidRPr="000E5C8A">
                              <w:t xml:space="preserve">† </w:t>
                            </w:r>
                            <w:proofErr w:type="gramStart"/>
                            <w:r>
                              <w:t>corresponding</w:t>
                            </w:r>
                            <w:proofErr w:type="gramEnd"/>
                            <w:r>
                              <w:t xml:space="preserve"> author </w:t>
                            </w:r>
                            <w:r w:rsidRPr="000E5C8A">
                              <w:t>e</w:t>
                            </w:r>
                            <w:r>
                              <w:t>-</w:t>
                            </w:r>
                            <w:r w:rsidRPr="000E5C8A">
                              <w:t>mail</w:t>
                            </w:r>
                            <w:r>
                              <w:t xml:space="preserve">: </w:t>
                            </w:r>
                            <w:r>
                              <w:rPr>
                                <w:kern w:val="16"/>
                              </w:rPr>
                              <w:t>ikonoplev202@gmail</w:t>
                            </w:r>
                            <w:r w:rsidRPr="000E5C8A">
                              <w:rPr>
                                <w:kern w:val="16"/>
                              </w:rPr>
                              <w:t>.</w:t>
                            </w:r>
                            <w:r>
                              <w:rPr>
                                <w:kern w:val="16"/>
                              </w:rPr>
                              <w:t>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DDC5BA" id="_x0000_t202" coordsize="21600,21600" o:spt="202" path="m,l,21600r21600,l21600,xe">
                <v:stroke joinstyle="miter"/>
                <v:path gradientshapeok="t" o:connecttype="rect"/>
              </v:shapetype>
              <v:shape id="Text Box 38" o:spid="_x0000_s1035" type="#_x0000_t202" style="position:absolute;left:0;text-align:left;margin-left:0;margin-top:764.7pt;width:237pt;height:2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" o:allowoverlap="f" filled="f" stroked="f">
                <v:textbox inset="0,0,0,0">
                  <w:txbxContent>
                    <w:p w14:paraId="05F03325" w14:textId="77B351D1" w:rsidR="003B5966" w:rsidRPr="003B5966" w:rsidRDefault="003B5966" w:rsidP="003B5966">
                      <w:pPr>
                        <w:pStyle w:val="BodyTextIndent"/>
                        <w:tabs>
                          <w:tab w:val="left" w:leader="underscore" w:pos="1800"/>
                        </w:tabs>
                        <w:ind w:firstLine="0"/>
                        <w:rPr>
                          <w:kern w:val="16"/>
                          <w:sz w:val="8"/>
                        </w:rPr>
                      </w:pPr>
                      <w:r>
                        <w:rPr>
                          <w:kern w:val="16"/>
                          <w:sz w:val="8"/>
                        </w:rPr>
                        <w:tab/>
                      </w:r>
                    </w:p>
                    <w:p w14:paraId="6AE6C7A3" w14:textId="4436321B" w:rsidR="003B5966" w:rsidRPr="00E56880" w:rsidRDefault="003B5966" w:rsidP="003B5966">
                      <w:pPr>
                        <w:pStyle w:val="JACoWFootnoteText"/>
                      </w:pPr>
                      <w:r w:rsidRPr="000E5C8A">
                        <w:t xml:space="preserve">† </w:t>
                      </w:r>
                      <w:proofErr w:type="gramStart"/>
                      <w:r>
                        <w:t>corresponding</w:t>
                      </w:r>
                      <w:proofErr w:type="gramEnd"/>
                      <w:r>
                        <w:t xml:space="preserve"> author </w:t>
                      </w:r>
                      <w:r w:rsidRPr="000E5C8A">
                        <w:t>e</w:t>
                      </w:r>
                      <w:r>
                        <w:t>-</w:t>
                      </w:r>
                      <w:r w:rsidRPr="000E5C8A">
                        <w:t>mail</w:t>
                      </w:r>
                      <w:r>
                        <w:t xml:space="preserve">: </w:t>
                      </w:r>
                      <w:r>
                        <w:rPr>
                          <w:kern w:val="16"/>
                        </w:rPr>
                        <w:t>ikonoplev202@gmail</w:t>
                      </w:r>
                      <w:r w:rsidRPr="000E5C8A">
                        <w:rPr>
                          <w:kern w:val="16"/>
                        </w:rPr>
                        <w:t>.</w:t>
                      </w:r>
                      <w:r>
                        <w:rPr>
                          <w:kern w:val="16"/>
                        </w:rPr>
                        <w:t>com</w:t>
                      </w:r>
                    </w:p>
                  </w:txbxContent>
                </v:textbox>
                <w10:wrap type="topAndBottom" anchory="page"/>
              </v:shape>
            </w:pict>
          </mc:Fallback>
        </mc:AlternateContent>
      </w:r>
    </w:p>
    <w:p w14:paraId="0EF9747C" w14:textId="77777777" w:rsidR="008E1067" w:rsidRDefault="008E1067" w:rsidP="008E1067">
      <w:pPr>
        <w:pStyle w:val="JACoWReferencewhen9Refs"/>
        <w:ind w:left="284" w:hanging="284"/>
      </w:pPr>
    </w:p>
    <w:p w14:paraId="7339F043" w14:textId="77777777" w:rsidR="008E1067" w:rsidRDefault="008E1067" w:rsidP="008E1067">
      <w:pPr>
        <w:pStyle w:val="JACoWReferencewhen9Refs"/>
        <w:ind w:left="0" w:firstLine="0"/>
        <w:sectPr w:rsidR="008E1067" w:rsidSect="005F66E9">
          <w:footnotePr>
            <w:pos w:val="beneathText"/>
            <w:numFmt w:val="chicago"/>
          </w:footnotePr>
          <w:endnotePr>
            <w:numFmt w:val="decimal"/>
          </w:endnotePr>
          <w:type w:val="continuous"/>
          <w:pgSz w:w="11907" w:h="16840" w:code="9"/>
          <w:pgMar w:top="2102" w:right="1138" w:bottom="1080" w:left="1138" w:header="720" w:footer="720" w:gutter="0"/>
          <w:cols w:num="2" w:space="288"/>
          <w:docGrid w:linePitch="360"/>
        </w:sectPr>
      </w:pPr>
    </w:p>
    <w:p w14:paraId="3B3ADC44" w14:textId="25B6F32B" w:rsidR="00216514" w:rsidRDefault="00216514" w:rsidP="008E1067">
      <w:pPr>
        <w:pStyle w:val="JACoWSectionHeading"/>
        <w:spacing w:before="0" w:after="120"/>
        <w:jc w:val="left"/>
        <w:rPr>
          <w:lang w:val="en-GB"/>
        </w:rPr>
      </w:pPr>
    </w:p>
    <w:sectPr w:rsidR="00216514" w:rsidSect="00216514">
      <w:footnotePr>
        <w:pos w:val="beneathText"/>
        <w:numFmt w:val="chicago"/>
      </w:footnotePr>
      <w:endnotePr>
        <w:numFmt w:val="decimal"/>
      </w:endnotePr>
      <w:pgSz w:w="11907" w:h="16840" w:code="9"/>
      <w:pgMar w:top="2102" w:right="1138" w:bottom="1080" w:left="1138" w:header="720" w:footer="720" w:gutter="0"/>
      <w:cols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8FB2F" w14:textId="77777777" w:rsidR="00DA3423" w:rsidRDefault="00DA3423"/>
  </w:endnote>
  <w:endnote w:type="continuationSeparator" w:id="0">
    <w:p w14:paraId="22F8E197" w14:textId="77777777" w:rsidR="00DA3423" w:rsidRDefault="00DA34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Sylfaen"/>
    <w:panose1 w:val="02020603050405020304"/>
    <w:charset w:val="00"/>
    <w:family w:val="roman"/>
    <w:pitch w:val="variable"/>
    <w:sig w:usb0="E0002EFF" w:usb1="C000785B" w:usb2="00000009" w:usb3="00000000" w:csb0="000001FF" w:csb1="00000000"/>
    <w:embedRegular r:id="rId1" w:fontKey="{69EA5CB2-E806-4F33-BBF5-E4B621698B94}"/>
    <w:embedBold r:id="rId2" w:fontKey="{DC685A97-263A-40C9-8447-2DE010964BE5}"/>
    <w:embedItalic r:id="rId3" w:fontKey="{7783A787-9D6B-4DB1-9C53-CE90FBE9FBBA}"/>
    <w:embedBoldItalic r:id="rId4" w:fontKey="{C150A37B-12FF-4950-B586-9C11241F561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23942D37-387F-416A-A27B-CB76FBFC8FB3}"/>
    <w:embedBold r:id="rId6" w:fontKey="{ED5B618B-ED70-4861-9008-04C27BA73552}"/>
    <w:embedItalic r:id="rId7" w:fontKey="{7D47964C-43CD-4A55-8C74-02B1BAD0CAED}"/>
    <w:embedBoldItalic r:id="rId8" w:fontKey="{E38E5F12-DF88-42F1-BCB1-F09560774423}"/>
  </w:font>
  <w:font w:name="Liberation Mono">
    <w:altName w:val="Calibri"/>
    <w:charset w:val="00"/>
    <w:family w:val="modern"/>
    <w:pitch w:val="fixed"/>
    <w:sig w:usb0="E0000AFF" w:usb1="500078FF" w:usb2="00000001" w:usb3="00000000" w:csb0="000001BF" w:csb1="00000000"/>
  </w:font>
  <w:font w:name="Tahoma">
    <w:panose1 w:val="020B0604030504040204"/>
    <w:charset w:val="00"/>
    <w:family w:val="swiss"/>
    <w:pitch w:val="variable"/>
    <w:sig w:usb0="E1002EFF" w:usb1="C000605B" w:usb2="00000029" w:usb3="00000000" w:csb0="000101FF" w:csb1="00000000"/>
    <w:embedRegular r:id="rId9" w:fontKey="{5FB582CF-72E5-4743-A6D4-A2DA591F5335}"/>
  </w:font>
  <w:font w:name="Consolas">
    <w:panose1 w:val="020B0609020204030204"/>
    <w:charset w:val="00"/>
    <w:family w:val="modern"/>
    <w:pitch w:val="fixed"/>
    <w:sig w:usb0="E00006FF" w:usb1="0000FCFF" w:usb2="00000001" w:usb3="00000000" w:csb0="0000019F" w:csb1="00000000"/>
    <w:embedRegular r:id="rId10" w:fontKey="{B5B86B97-4881-45D9-BF4A-B060736C8523}"/>
    <w:embedItalic r:id="rId11" w:fontKey="{39A747F1-B6A5-4B52-B39D-78384C7B1C69}"/>
  </w:font>
  <w:font w:name="Calibri">
    <w:panose1 w:val="020F0502020204030204"/>
    <w:charset w:val="00"/>
    <w:family w:val="swiss"/>
    <w:pitch w:val="variable"/>
    <w:sig w:usb0="E4002EFF" w:usb1="C000247B" w:usb2="00000009" w:usb3="00000000" w:csb0="000001FF" w:csb1="00000000"/>
    <w:embedRegular r:id="rId12" w:fontKey="{EBF98DA2-949F-4230-BAD3-CC47C7BB6F21}"/>
    <w:embedBold r:id="rId13" w:fontKey="{F88C0A93-814F-4EC9-A078-B34212679940}"/>
    <w:embedItalic r:id="rId14" w:fontKey="{B4B520DA-C694-4CEC-8055-35C52EA5F3D9}"/>
  </w:font>
  <w:font w:name="Cambria Math">
    <w:panose1 w:val="02040503050406030204"/>
    <w:charset w:val="00"/>
    <w:family w:val="roman"/>
    <w:pitch w:val="variable"/>
    <w:sig w:usb0="E00006FF" w:usb1="420024FF" w:usb2="02000000" w:usb3="00000000" w:csb0="0000019F" w:csb1="00000000"/>
    <w:embedItalic r:id="rId15" w:fontKey="{ADFC0605-E413-4912-A373-2FF7A92977A4}"/>
  </w:font>
  <w:font w:name="French Script MT">
    <w:panose1 w:val="03020402040607040605"/>
    <w:charset w:val="00"/>
    <w:family w:val="script"/>
    <w:pitch w:val="variable"/>
    <w:sig w:usb0="00000003" w:usb1="00000000" w:usb2="00000000" w:usb3="00000000" w:csb0="00000001" w:csb1="00000000"/>
    <w:embedItalic r:id="rId16" w:fontKey="{D5E878CF-5DEC-487A-9D2B-3EEAEFCCB9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55AE6" w14:textId="77777777" w:rsidR="00C80A08" w:rsidRDefault="00C80A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8712F" w14:textId="77777777" w:rsidR="00C80A08" w:rsidRDefault="00C80A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22354" w14:textId="77777777" w:rsidR="00C80A08" w:rsidRDefault="00C80A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FD9CE" w14:textId="77777777" w:rsidR="00DA3423" w:rsidRDefault="00DA3423">
      <w:r>
        <w:separator/>
      </w:r>
    </w:p>
  </w:footnote>
  <w:footnote w:type="continuationSeparator" w:id="0">
    <w:p w14:paraId="4932EB1B" w14:textId="77777777" w:rsidR="00DA3423" w:rsidRDefault="00DA34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A979E" w14:textId="77777777" w:rsidR="00C80A08" w:rsidRDefault="00C80A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3C6B8" w14:textId="77777777" w:rsidR="00C80A08" w:rsidRDefault="00C80A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533AC" w14:textId="77777777" w:rsidR="00C80A08" w:rsidRDefault="00C80A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558D40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3CA23E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270694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ACA95B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DB6FC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C6BB9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654F7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D64F0B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228641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A506F9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5A126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1324CD7"/>
    <w:multiLevelType w:val="hybridMultilevel"/>
    <w:tmpl w:val="0C5A38BE"/>
    <w:lvl w:ilvl="0" w:tplc="6D8E591C">
      <w:start w:val="1"/>
      <w:numFmt w:val="bullet"/>
      <w:pStyle w:val="JACoWBulletedList"/>
      <w:lvlText w:val=""/>
      <w:lvlJc w:val="left"/>
      <w:pPr>
        <w:tabs>
          <w:tab w:val="num" w:pos="344"/>
        </w:tabs>
        <w:ind w:left="344" w:hanging="202"/>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2" w15:restartNumberingAfterBreak="0">
    <w:nsid w:val="21EA3E2E"/>
    <w:multiLevelType w:val="multilevel"/>
    <w:tmpl w:val="40C675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EF90EFD"/>
    <w:multiLevelType w:val="hybridMultilevel"/>
    <w:tmpl w:val="59FA4BF6"/>
    <w:lvl w:ilvl="0" w:tplc="08070001">
      <w:start w:val="1"/>
      <w:numFmt w:val="bullet"/>
      <w:lvlText w:val=""/>
      <w:lvlJc w:val="left"/>
      <w:pPr>
        <w:ind w:left="3195" w:hanging="360"/>
      </w:pPr>
      <w:rPr>
        <w:rFonts w:ascii="Symbol" w:hAnsi="Symbol"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14" w15:restartNumberingAfterBreak="0">
    <w:nsid w:val="44635A35"/>
    <w:multiLevelType w:val="hybridMultilevel"/>
    <w:tmpl w:val="DFA6737A"/>
    <w:lvl w:ilvl="0" w:tplc="B80C1C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F72675"/>
    <w:multiLevelType w:val="hybridMultilevel"/>
    <w:tmpl w:val="252A4992"/>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58A331D2"/>
    <w:multiLevelType w:val="hybridMultilevel"/>
    <w:tmpl w:val="0512F4D2"/>
    <w:lvl w:ilvl="0" w:tplc="A966536E">
      <w:start w:val="1"/>
      <w:numFmt w:val="decimal"/>
      <w:lvlText w:val="%1)"/>
      <w:lvlJc w:val="left"/>
      <w:pPr>
        <w:ind w:left="547" w:hanging="360"/>
      </w:pPr>
      <w:rPr>
        <w:rFonts w:hint="default"/>
      </w:rPr>
    </w:lvl>
    <w:lvl w:ilvl="1" w:tplc="08090019" w:tentative="1">
      <w:start w:val="1"/>
      <w:numFmt w:val="lowerLetter"/>
      <w:lvlText w:val="%2."/>
      <w:lvlJc w:val="left"/>
      <w:pPr>
        <w:ind w:left="1267" w:hanging="360"/>
      </w:pPr>
    </w:lvl>
    <w:lvl w:ilvl="2" w:tplc="0809001B" w:tentative="1">
      <w:start w:val="1"/>
      <w:numFmt w:val="lowerRoman"/>
      <w:lvlText w:val="%3."/>
      <w:lvlJc w:val="right"/>
      <w:pPr>
        <w:ind w:left="1987" w:hanging="180"/>
      </w:pPr>
    </w:lvl>
    <w:lvl w:ilvl="3" w:tplc="0809000F" w:tentative="1">
      <w:start w:val="1"/>
      <w:numFmt w:val="decimal"/>
      <w:lvlText w:val="%4."/>
      <w:lvlJc w:val="left"/>
      <w:pPr>
        <w:ind w:left="2707" w:hanging="360"/>
      </w:pPr>
    </w:lvl>
    <w:lvl w:ilvl="4" w:tplc="08090019" w:tentative="1">
      <w:start w:val="1"/>
      <w:numFmt w:val="lowerLetter"/>
      <w:lvlText w:val="%5."/>
      <w:lvlJc w:val="left"/>
      <w:pPr>
        <w:ind w:left="3427" w:hanging="360"/>
      </w:pPr>
    </w:lvl>
    <w:lvl w:ilvl="5" w:tplc="0809001B" w:tentative="1">
      <w:start w:val="1"/>
      <w:numFmt w:val="lowerRoman"/>
      <w:lvlText w:val="%6."/>
      <w:lvlJc w:val="right"/>
      <w:pPr>
        <w:ind w:left="4147" w:hanging="180"/>
      </w:pPr>
    </w:lvl>
    <w:lvl w:ilvl="6" w:tplc="0809000F" w:tentative="1">
      <w:start w:val="1"/>
      <w:numFmt w:val="decimal"/>
      <w:lvlText w:val="%7."/>
      <w:lvlJc w:val="left"/>
      <w:pPr>
        <w:ind w:left="4867" w:hanging="360"/>
      </w:pPr>
    </w:lvl>
    <w:lvl w:ilvl="7" w:tplc="08090019" w:tentative="1">
      <w:start w:val="1"/>
      <w:numFmt w:val="lowerLetter"/>
      <w:lvlText w:val="%8."/>
      <w:lvlJc w:val="left"/>
      <w:pPr>
        <w:ind w:left="5587" w:hanging="360"/>
      </w:pPr>
    </w:lvl>
    <w:lvl w:ilvl="8" w:tplc="0809001B" w:tentative="1">
      <w:start w:val="1"/>
      <w:numFmt w:val="lowerRoman"/>
      <w:lvlText w:val="%9."/>
      <w:lvlJc w:val="right"/>
      <w:pPr>
        <w:ind w:left="6307" w:hanging="180"/>
      </w:pPr>
    </w:lvl>
  </w:abstractNum>
  <w:abstractNum w:abstractNumId="17" w15:restartNumberingAfterBreak="0">
    <w:nsid w:val="5C1427A8"/>
    <w:multiLevelType w:val="hybridMultilevel"/>
    <w:tmpl w:val="205E0C46"/>
    <w:lvl w:ilvl="0" w:tplc="4DE2586A">
      <w:start w:val="1"/>
      <w:numFmt w:val="decimal"/>
      <w:lvlText w:val="%1"/>
      <w:lvlJc w:val="left"/>
      <w:pPr>
        <w:tabs>
          <w:tab w:val="num" w:pos="360"/>
        </w:tabs>
        <w:ind w:left="360" w:hanging="360"/>
      </w:pPr>
      <w:rPr>
        <w:rFonts w:ascii="Times" w:hAnsi="Times" w:hint="default"/>
        <w:b/>
        <w:i w:val="0"/>
        <w:sz w:val="24"/>
      </w:rPr>
    </w:lvl>
    <w:lvl w:ilvl="1" w:tplc="3724E022">
      <w:numFmt w:val="none"/>
      <w:lvlText w:val=""/>
      <w:lvlJc w:val="left"/>
      <w:pPr>
        <w:tabs>
          <w:tab w:val="num" w:pos="360"/>
        </w:tabs>
      </w:pPr>
    </w:lvl>
    <w:lvl w:ilvl="2" w:tplc="3BA20238">
      <w:numFmt w:val="none"/>
      <w:lvlText w:val=""/>
      <w:lvlJc w:val="left"/>
      <w:pPr>
        <w:tabs>
          <w:tab w:val="num" w:pos="360"/>
        </w:tabs>
      </w:pPr>
    </w:lvl>
    <w:lvl w:ilvl="3" w:tplc="998E4A0A">
      <w:numFmt w:val="none"/>
      <w:lvlText w:val=""/>
      <w:lvlJc w:val="left"/>
      <w:pPr>
        <w:tabs>
          <w:tab w:val="num" w:pos="360"/>
        </w:tabs>
      </w:pPr>
    </w:lvl>
    <w:lvl w:ilvl="4" w:tplc="C4D83908">
      <w:numFmt w:val="none"/>
      <w:lvlText w:val=""/>
      <w:lvlJc w:val="left"/>
      <w:pPr>
        <w:tabs>
          <w:tab w:val="num" w:pos="360"/>
        </w:tabs>
      </w:pPr>
    </w:lvl>
    <w:lvl w:ilvl="5" w:tplc="78FE03DA">
      <w:numFmt w:val="none"/>
      <w:lvlText w:val=""/>
      <w:lvlJc w:val="left"/>
      <w:pPr>
        <w:tabs>
          <w:tab w:val="num" w:pos="360"/>
        </w:tabs>
      </w:pPr>
    </w:lvl>
    <w:lvl w:ilvl="6" w:tplc="24AAE1CA">
      <w:numFmt w:val="none"/>
      <w:lvlText w:val=""/>
      <w:lvlJc w:val="left"/>
      <w:pPr>
        <w:tabs>
          <w:tab w:val="num" w:pos="360"/>
        </w:tabs>
      </w:pPr>
    </w:lvl>
    <w:lvl w:ilvl="7" w:tplc="AC7C8E80">
      <w:numFmt w:val="none"/>
      <w:lvlText w:val=""/>
      <w:lvlJc w:val="left"/>
      <w:pPr>
        <w:tabs>
          <w:tab w:val="num" w:pos="360"/>
        </w:tabs>
      </w:pPr>
    </w:lvl>
    <w:lvl w:ilvl="8" w:tplc="5EA8CA18">
      <w:numFmt w:val="none"/>
      <w:lvlText w:val=""/>
      <w:lvlJc w:val="left"/>
      <w:pPr>
        <w:tabs>
          <w:tab w:val="num" w:pos="360"/>
        </w:tabs>
      </w:pPr>
    </w:lvl>
  </w:abstractNum>
  <w:abstractNum w:abstractNumId="18" w15:restartNumberingAfterBreak="0">
    <w:nsid w:val="5EFC4232"/>
    <w:multiLevelType w:val="hybridMultilevel"/>
    <w:tmpl w:val="72B044C4"/>
    <w:lvl w:ilvl="0" w:tplc="0409000F">
      <w:start w:val="1"/>
      <w:numFmt w:val="decimal"/>
      <w:lvlText w:val="%1."/>
      <w:lvlJc w:val="left"/>
      <w:pPr>
        <w:ind w:left="3195" w:hanging="360"/>
      </w:pPr>
      <w:rPr>
        <w:rFonts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19" w15:restartNumberingAfterBreak="0">
    <w:nsid w:val="67016AE4"/>
    <w:multiLevelType w:val="hybridMultilevel"/>
    <w:tmpl w:val="F82663B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0" w15:restartNumberingAfterBreak="0">
    <w:nsid w:val="694A0248"/>
    <w:multiLevelType w:val="hybridMultilevel"/>
    <w:tmpl w:val="7BD620F6"/>
    <w:lvl w:ilvl="0" w:tplc="CCF4351E">
      <w:start w:val="1"/>
      <w:numFmt w:val="decimal"/>
      <w:pStyle w:val="JACoWNumberedlist"/>
      <w:lvlText w:val="%1."/>
      <w:lvlJc w:val="left"/>
      <w:pPr>
        <w:ind w:left="2344" w:hanging="360"/>
      </w:pPr>
      <w:rPr>
        <w:rFonts w:hint="default"/>
      </w:rPr>
    </w:lvl>
    <w:lvl w:ilvl="1" w:tplc="04090003" w:tentative="1">
      <w:start w:val="1"/>
      <w:numFmt w:val="bullet"/>
      <w:lvlText w:val="o"/>
      <w:lvlJc w:val="left"/>
      <w:pPr>
        <w:ind w:left="2922" w:hanging="360"/>
      </w:pPr>
      <w:rPr>
        <w:rFonts w:ascii="Courier New" w:hAnsi="Courier New" w:cs="Courier New" w:hint="default"/>
      </w:rPr>
    </w:lvl>
    <w:lvl w:ilvl="2" w:tplc="04090005" w:tentative="1">
      <w:start w:val="1"/>
      <w:numFmt w:val="bullet"/>
      <w:lvlText w:val=""/>
      <w:lvlJc w:val="left"/>
      <w:pPr>
        <w:ind w:left="3642" w:hanging="360"/>
      </w:pPr>
      <w:rPr>
        <w:rFonts w:ascii="Wingdings" w:hAnsi="Wingdings" w:hint="default"/>
      </w:rPr>
    </w:lvl>
    <w:lvl w:ilvl="3" w:tplc="E8905F5E">
      <w:start w:val="1"/>
      <w:numFmt w:val="decimal"/>
      <w:lvlText w:val="%4."/>
      <w:lvlJc w:val="left"/>
      <w:pPr>
        <w:ind w:left="2344" w:hanging="360"/>
      </w:pPr>
      <w:rPr>
        <w:rFonts w:hint="default"/>
        <w:b w:val="0"/>
      </w:rPr>
    </w:lvl>
    <w:lvl w:ilvl="4" w:tplc="04090003" w:tentative="1">
      <w:start w:val="1"/>
      <w:numFmt w:val="bullet"/>
      <w:lvlText w:val="o"/>
      <w:lvlJc w:val="left"/>
      <w:pPr>
        <w:ind w:left="5082" w:hanging="360"/>
      </w:pPr>
      <w:rPr>
        <w:rFonts w:ascii="Courier New" w:hAnsi="Courier New" w:cs="Courier New" w:hint="default"/>
      </w:rPr>
    </w:lvl>
    <w:lvl w:ilvl="5" w:tplc="04090005" w:tentative="1">
      <w:start w:val="1"/>
      <w:numFmt w:val="bullet"/>
      <w:lvlText w:val=""/>
      <w:lvlJc w:val="left"/>
      <w:pPr>
        <w:ind w:left="5802" w:hanging="360"/>
      </w:pPr>
      <w:rPr>
        <w:rFonts w:ascii="Wingdings" w:hAnsi="Wingdings" w:hint="default"/>
      </w:rPr>
    </w:lvl>
    <w:lvl w:ilvl="6" w:tplc="04090001" w:tentative="1">
      <w:start w:val="1"/>
      <w:numFmt w:val="bullet"/>
      <w:lvlText w:val=""/>
      <w:lvlJc w:val="left"/>
      <w:pPr>
        <w:ind w:left="6522" w:hanging="360"/>
      </w:pPr>
      <w:rPr>
        <w:rFonts w:ascii="Symbol" w:hAnsi="Symbol" w:hint="default"/>
      </w:rPr>
    </w:lvl>
    <w:lvl w:ilvl="7" w:tplc="04090003" w:tentative="1">
      <w:start w:val="1"/>
      <w:numFmt w:val="bullet"/>
      <w:lvlText w:val="o"/>
      <w:lvlJc w:val="left"/>
      <w:pPr>
        <w:ind w:left="7242" w:hanging="360"/>
      </w:pPr>
      <w:rPr>
        <w:rFonts w:ascii="Courier New" w:hAnsi="Courier New" w:cs="Courier New" w:hint="default"/>
      </w:rPr>
    </w:lvl>
    <w:lvl w:ilvl="8" w:tplc="04090005" w:tentative="1">
      <w:start w:val="1"/>
      <w:numFmt w:val="bullet"/>
      <w:lvlText w:val=""/>
      <w:lvlJc w:val="left"/>
      <w:pPr>
        <w:ind w:left="7962" w:hanging="360"/>
      </w:pPr>
      <w:rPr>
        <w:rFonts w:ascii="Wingdings" w:hAnsi="Wingdings" w:hint="default"/>
      </w:rPr>
    </w:lvl>
  </w:abstractNum>
  <w:num w:numId="1">
    <w:abstractNumId w:val="17"/>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9"/>
  </w:num>
  <w:num w:numId="16">
    <w:abstractNumId w:val="18"/>
  </w:num>
  <w:num w:numId="17">
    <w:abstractNumId w:val="15"/>
  </w:num>
  <w:num w:numId="18">
    <w:abstractNumId w:val="13"/>
  </w:num>
  <w:num w:numId="19">
    <w:abstractNumId w:val="20"/>
  </w:num>
  <w:num w:numId="20">
    <w:abstractNumId w:val="14"/>
  </w:num>
  <w:num w:numId="21">
    <w:abstractNumId w:val="11"/>
  </w:num>
  <w:num w:numId="22">
    <w:abstractNumId w:val="11"/>
  </w:num>
  <w:num w:numId="23">
    <w:abstractNumId w:val="20"/>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attachedTemplate r:id="rId1"/>
  <w:stylePaneFormatFilter w:val="3028" w:allStyles="0" w:customStyles="0" w:latentStyles="0" w:stylesInUse="1" w:headingStyles="1" w:numberingStyles="0" w:tableStyles="0" w:directFormattingOnRuns="0" w:directFormattingOnParagraphs="0" w:directFormattingOnNumbering="0" w:directFormattingOnTables="0" w:clearFormatting="1" w:top3HeadingStyles="1" w:visibleStyles="0" w:alternateStyleNames="0"/>
  <w:stylePaneSortMethod w:val="0000"/>
  <w:defaultTabStop w:val="357"/>
  <w:autoHyphenation/>
  <w:hyphenationZone w:val="425"/>
  <w:drawingGridHorizontalSpacing w:val="29"/>
  <w:drawingGridVerticalSpacing w:val="187"/>
  <w:displayHorizontalDrawingGridEvery w:val="2"/>
  <w:displayVerticalDrawingGridEvery w:val="2"/>
  <w:noPunctuationKerning/>
  <w:characterSpacingControl w:val="doNotCompress"/>
  <w:hdrShapeDefaults>
    <o:shapedefaults v:ext="edit" spidmax="2050"/>
  </w:hdrShapeDefaults>
  <w:footnotePr>
    <w:pos w:val="beneathText"/>
    <w:numFmt w:val="chicago"/>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A08"/>
    <w:rsid w:val="00000AE9"/>
    <w:rsid w:val="00000DB8"/>
    <w:rsid w:val="00002360"/>
    <w:rsid w:val="000030C7"/>
    <w:rsid w:val="00003BFA"/>
    <w:rsid w:val="00007CCD"/>
    <w:rsid w:val="00011BB2"/>
    <w:rsid w:val="000120AA"/>
    <w:rsid w:val="00012754"/>
    <w:rsid w:val="00013861"/>
    <w:rsid w:val="00013ABB"/>
    <w:rsid w:val="00013D04"/>
    <w:rsid w:val="000160F5"/>
    <w:rsid w:val="000179B6"/>
    <w:rsid w:val="00020432"/>
    <w:rsid w:val="0002257C"/>
    <w:rsid w:val="00023333"/>
    <w:rsid w:val="00024E77"/>
    <w:rsid w:val="000259C8"/>
    <w:rsid w:val="000264AD"/>
    <w:rsid w:val="000305F3"/>
    <w:rsid w:val="000312DC"/>
    <w:rsid w:val="000321B1"/>
    <w:rsid w:val="000322EF"/>
    <w:rsid w:val="000334AD"/>
    <w:rsid w:val="000339EC"/>
    <w:rsid w:val="00041FEC"/>
    <w:rsid w:val="00042A9C"/>
    <w:rsid w:val="00042B73"/>
    <w:rsid w:val="000460AE"/>
    <w:rsid w:val="00046FE8"/>
    <w:rsid w:val="00047219"/>
    <w:rsid w:val="00050A30"/>
    <w:rsid w:val="00052CB4"/>
    <w:rsid w:val="00053CF4"/>
    <w:rsid w:val="00056950"/>
    <w:rsid w:val="00056E9E"/>
    <w:rsid w:val="00061CC1"/>
    <w:rsid w:val="000634BB"/>
    <w:rsid w:val="000643D5"/>
    <w:rsid w:val="00066F1A"/>
    <w:rsid w:val="00070532"/>
    <w:rsid w:val="00072FF4"/>
    <w:rsid w:val="0007331E"/>
    <w:rsid w:val="00074291"/>
    <w:rsid w:val="00074A20"/>
    <w:rsid w:val="000752BF"/>
    <w:rsid w:val="0007678C"/>
    <w:rsid w:val="00076F9F"/>
    <w:rsid w:val="0008212B"/>
    <w:rsid w:val="000836F2"/>
    <w:rsid w:val="00083FA2"/>
    <w:rsid w:val="00084085"/>
    <w:rsid w:val="000859BC"/>
    <w:rsid w:val="00087B99"/>
    <w:rsid w:val="00087D3D"/>
    <w:rsid w:val="00092076"/>
    <w:rsid w:val="000920EA"/>
    <w:rsid w:val="00094BA7"/>
    <w:rsid w:val="00096B6B"/>
    <w:rsid w:val="000974D8"/>
    <w:rsid w:val="000A0335"/>
    <w:rsid w:val="000A1AED"/>
    <w:rsid w:val="000A1CA7"/>
    <w:rsid w:val="000A2162"/>
    <w:rsid w:val="000A2A9A"/>
    <w:rsid w:val="000A7737"/>
    <w:rsid w:val="000B1371"/>
    <w:rsid w:val="000B7069"/>
    <w:rsid w:val="000C1534"/>
    <w:rsid w:val="000C1815"/>
    <w:rsid w:val="000C27C1"/>
    <w:rsid w:val="000C2DA2"/>
    <w:rsid w:val="000C7727"/>
    <w:rsid w:val="000C7DD5"/>
    <w:rsid w:val="000D0EE2"/>
    <w:rsid w:val="000D3DAF"/>
    <w:rsid w:val="000D4C5C"/>
    <w:rsid w:val="000D6325"/>
    <w:rsid w:val="000D6A43"/>
    <w:rsid w:val="000E0E16"/>
    <w:rsid w:val="000E1BEA"/>
    <w:rsid w:val="000E1EAA"/>
    <w:rsid w:val="000E28FD"/>
    <w:rsid w:val="000E309A"/>
    <w:rsid w:val="000E33E1"/>
    <w:rsid w:val="000E34D4"/>
    <w:rsid w:val="000E38F0"/>
    <w:rsid w:val="000E57D6"/>
    <w:rsid w:val="000E5C8A"/>
    <w:rsid w:val="000E7615"/>
    <w:rsid w:val="000F18A9"/>
    <w:rsid w:val="000F1BAC"/>
    <w:rsid w:val="000F3F19"/>
    <w:rsid w:val="000F6832"/>
    <w:rsid w:val="001020F0"/>
    <w:rsid w:val="00103192"/>
    <w:rsid w:val="001035CD"/>
    <w:rsid w:val="001042DC"/>
    <w:rsid w:val="00104779"/>
    <w:rsid w:val="00104B6A"/>
    <w:rsid w:val="00106278"/>
    <w:rsid w:val="00106DCF"/>
    <w:rsid w:val="00112CA3"/>
    <w:rsid w:val="00113B1E"/>
    <w:rsid w:val="00113EB7"/>
    <w:rsid w:val="0011613C"/>
    <w:rsid w:val="0011693D"/>
    <w:rsid w:val="00116CD3"/>
    <w:rsid w:val="00117DC0"/>
    <w:rsid w:val="00123677"/>
    <w:rsid w:val="00127584"/>
    <w:rsid w:val="00133F79"/>
    <w:rsid w:val="0013468C"/>
    <w:rsid w:val="00134CD6"/>
    <w:rsid w:val="00134D02"/>
    <w:rsid w:val="00137E9E"/>
    <w:rsid w:val="0014145F"/>
    <w:rsid w:val="00142809"/>
    <w:rsid w:val="001458AE"/>
    <w:rsid w:val="00147417"/>
    <w:rsid w:val="001517C2"/>
    <w:rsid w:val="0015344C"/>
    <w:rsid w:val="00154786"/>
    <w:rsid w:val="00157900"/>
    <w:rsid w:val="0016080C"/>
    <w:rsid w:val="001615D1"/>
    <w:rsid w:val="00162067"/>
    <w:rsid w:val="001630E8"/>
    <w:rsid w:val="00164A92"/>
    <w:rsid w:val="00165665"/>
    <w:rsid w:val="001663F5"/>
    <w:rsid w:val="00166737"/>
    <w:rsid w:val="001670AE"/>
    <w:rsid w:val="00171805"/>
    <w:rsid w:val="0017430F"/>
    <w:rsid w:val="00174C53"/>
    <w:rsid w:val="00174DE4"/>
    <w:rsid w:val="001822D4"/>
    <w:rsid w:val="00183020"/>
    <w:rsid w:val="00183A3C"/>
    <w:rsid w:val="00184226"/>
    <w:rsid w:val="00193D45"/>
    <w:rsid w:val="00195713"/>
    <w:rsid w:val="00196E58"/>
    <w:rsid w:val="0019740F"/>
    <w:rsid w:val="00197F96"/>
    <w:rsid w:val="001A2A88"/>
    <w:rsid w:val="001A4E1D"/>
    <w:rsid w:val="001A51A4"/>
    <w:rsid w:val="001A7620"/>
    <w:rsid w:val="001B0012"/>
    <w:rsid w:val="001B0226"/>
    <w:rsid w:val="001B051D"/>
    <w:rsid w:val="001B365D"/>
    <w:rsid w:val="001B3A18"/>
    <w:rsid w:val="001B4D9B"/>
    <w:rsid w:val="001B5738"/>
    <w:rsid w:val="001C1F72"/>
    <w:rsid w:val="001C63B1"/>
    <w:rsid w:val="001C66E7"/>
    <w:rsid w:val="001C6FFE"/>
    <w:rsid w:val="001D11F9"/>
    <w:rsid w:val="001D1E2F"/>
    <w:rsid w:val="001D3F8F"/>
    <w:rsid w:val="001D4D72"/>
    <w:rsid w:val="001D51BA"/>
    <w:rsid w:val="001D589B"/>
    <w:rsid w:val="001D5B04"/>
    <w:rsid w:val="001D6284"/>
    <w:rsid w:val="001D6D53"/>
    <w:rsid w:val="001D72B1"/>
    <w:rsid w:val="001E08FF"/>
    <w:rsid w:val="001E1D9B"/>
    <w:rsid w:val="001E2D0A"/>
    <w:rsid w:val="001E6AEF"/>
    <w:rsid w:val="001E78D7"/>
    <w:rsid w:val="001E7987"/>
    <w:rsid w:val="001F001B"/>
    <w:rsid w:val="001F0A73"/>
    <w:rsid w:val="001F345C"/>
    <w:rsid w:val="001F4B40"/>
    <w:rsid w:val="001F586F"/>
    <w:rsid w:val="001F5C87"/>
    <w:rsid w:val="00200AA7"/>
    <w:rsid w:val="0020166C"/>
    <w:rsid w:val="00201BBF"/>
    <w:rsid w:val="00203434"/>
    <w:rsid w:val="002044BC"/>
    <w:rsid w:val="0021164C"/>
    <w:rsid w:val="00216514"/>
    <w:rsid w:val="002220C1"/>
    <w:rsid w:val="00222B2A"/>
    <w:rsid w:val="0022320C"/>
    <w:rsid w:val="002235B0"/>
    <w:rsid w:val="00224DC7"/>
    <w:rsid w:val="00226507"/>
    <w:rsid w:val="0022653C"/>
    <w:rsid w:val="00230405"/>
    <w:rsid w:val="00230B0C"/>
    <w:rsid w:val="00230FD4"/>
    <w:rsid w:val="00231EF7"/>
    <w:rsid w:val="0023331E"/>
    <w:rsid w:val="00234D91"/>
    <w:rsid w:val="002350C2"/>
    <w:rsid w:val="0023626E"/>
    <w:rsid w:val="002363EF"/>
    <w:rsid w:val="00237FC9"/>
    <w:rsid w:val="002428E5"/>
    <w:rsid w:val="00242FEB"/>
    <w:rsid w:val="0024303B"/>
    <w:rsid w:val="00243C3F"/>
    <w:rsid w:val="00244E8F"/>
    <w:rsid w:val="002457DA"/>
    <w:rsid w:val="00246525"/>
    <w:rsid w:val="00246CC5"/>
    <w:rsid w:val="002479E5"/>
    <w:rsid w:val="00251BA1"/>
    <w:rsid w:val="00252C44"/>
    <w:rsid w:val="00253001"/>
    <w:rsid w:val="00253F4C"/>
    <w:rsid w:val="0025549D"/>
    <w:rsid w:val="00256197"/>
    <w:rsid w:val="00260AAD"/>
    <w:rsid w:val="00262CBB"/>
    <w:rsid w:val="00262E0B"/>
    <w:rsid w:val="00263536"/>
    <w:rsid w:val="002642D5"/>
    <w:rsid w:val="0026595D"/>
    <w:rsid w:val="00272022"/>
    <w:rsid w:val="002742E8"/>
    <w:rsid w:val="00276784"/>
    <w:rsid w:val="00276CD2"/>
    <w:rsid w:val="00280988"/>
    <w:rsid w:val="00280D5D"/>
    <w:rsid w:val="00281C35"/>
    <w:rsid w:val="0028217A"/>
    <w:rsid w:val="00283D3F"/>
    <w:rsid w:val="002847D7"/>
    <w:rsid w:val="00286352"/>
    <w:rsid w:val="002868F9"/>
    <w:rsid w:val="00292CCB"/>
    <w:rsid w:val="0029322D"/>
    <w:rsid w:val="00293AFA"/>
    <w:rsid w:val="002A18A3"/>
    <w:rsid w:val="002A2611"/>
    <w:rsid w:val="002A3230"/>
    <w:rsid w:val="002A3595"/>
    <w:rsid w:val="002A4129"/>
    <w:rsid w:val="002B04DD"/>
    <w:rsid w:val="002B1D09"/>
    <w:rsid w:val="002B3946"/>
    <w:rsid w:val="002B3C84"/>
    <w:rsid w:val="002B4E01"/>
    <w:rsid w:val="002B5375"/>
    <w:rsid w:val="002B553F"/>
    <w:rsid w:val="002B5873"/>
    <w:rsid w:val="002B6C38"/>
    <w:rsid w:val="002C1823"/>
    <w:rsid w:val="002C1B07"/>
    <w:rsid w:val="002C31F5"/>
    <w:rsid w:val="002C35E9"/>
    <w:rsid w:val="002C4825"/>
    <w:rsid w:val="002C6318"/>
    <w:rsid w:val="002C75A7"/>
    <w:rsid w:val="002D0904"/>
    <w:rsid w:val="002D2A47"/>
    <w:rsid w:val="002D4660"/>
    <w:rsid w:val="002D5D05"/>
    <w:rsid w:val="002D6CC9"/>
    <w:rsid w:val="002D7A70"/>
    <w:rsid w:val="002D7BCB"/>
    <w:rsid w:val="002E0A75"/>
    <w:rsid w:val="002E1B10"/>
    <w:rsid w:val="002E25B9"/>
    <w:rsid w:val="002E3F0A"/>
    <w:rsid w:val="002E7FE6"/>
    <w:rsid w:val="002F19A4"/>
    <w:rsid w:val="002F33F6"/>
    <w:rsid w:val="002F45E5"/>
    <w:rsid w:val="002F62E4"/>
    <w:rsid w:val="002F64EC"/>
    <w:rsid w:val="002F7830"/>
    <w:rsid w:val="003003BA"/>
    <w:rsid w:val="003017FB"/>
    <w:rsid w:val="00301DD7"/>
    <w:rsid w:val="003037CD"/>
    <w:rsid w:val="003059D4"/>
    <w:rsid w:val="003109B7"/>
    <w:rsid w:val="00310C40"/>
    <w:rsid w:val="00313673"/>
    <w:rsid w:val="00314DD8"/>
    <w:rsid w:val="003204D7"/>
    <w:rsid w:val="00323071"/>
    <w:rsid w:val="00324660"/>
    <w:rsid w:val="00327D81"/>
    <w:rsid w:val="003317EB"/>
    <w:rsid w:val="00333224"/>
    <w:rsid w:val="003343FC"/>
    <w:rsid w:val="0033459F"/>
    <w:rsid w:val="003412C6"/>
    <w:rsid w:val="003444F4"/>
    <w:rsid w:val="003447C9"/>
    <w:rsid w:val="00344F25"/>
    <w:rsid w:val="00345660"/>
    <w:rsid w:val="00351109"/>
    <w:rsid w:val="0035141C"/>
    <w:rsid w:val="00353DD9"/>
    <w:rsid w:val="00355963"/>
    <w:rsid w:val="00355ACD"/>
    <w:rsid w:val="003574D8"/>
    <w:rsid w:val="0036194C"/>
    <w:rsid w:val="00362807"/>
    <w:rsid w:val="0036387E"/>
    <w:rsid w:val="00363A01"/>
    <w:rsid w:val="00365AA7"/>
    <w:rsid w:val="00366861"/>
    <w:rsid w:val="0036730E"/>
    <w:rsid w:val="00370553"/>
    <w:rsid w:val="00370789"/>
    <w:rsid w:val="00370F22"/>
    <w:rsid w:val="00371999"/>
    <w:rsid w:val="003723D1"/>
    <w:rsid w:val="00374198"/>
    <w:rsid w:val="00375CF3"/>
    <w:rsid w:val="003762B4"/>
    <w:rsid w:val="00376AE7"/>
    <w:rsid w:val="00376FE8"/>
    <w:rsid w:val="0037743E"/>
    <w:rsid w:val="00383DCE"/>
    <w:rsid w:val="00394F4B"/>
    <w:rsid w:val="003963BD"/>
    <w:rsid w:val="003A007C"/>
    <w:rsid w:val="003A23AA"/>
    <w:rsid w:val="003A2652"/>
    <w:rsid w:val="003A2EA5"/>
    <w:rsid w:val="003A575A"/>
    <w:rsid w:val="003A6E3C"/>
    <w:rsid w:val="003B5966"/>
    <w:rsid w:val="003B6127"/>
    <w:rsid w:val="003B6163"/>
    <w:rsid w:val="003B77D2"/>
    <w:rsid w:val="003C0637"/>
    <w:rsid w:val="003C078A"/>
    <w:rsid w:val="003C2B35"/>
    <w:rsid w:val="003C3928"/>
    <w:rsid w:val="003C3B01"/>
    <w:rsid w:val="003C450B"/>
    <w:rsid w:val="003C52DD"/>
    <w:rsid w:val="003C72D6"/>
    <w:rsid w:val="003D16E0"/>
    <w:rsid w:val="003D4DD7"/>
    <w:rsid w:val="003D5CFE"/>
    <w:rsid w:val="003D74E6"/>
    <w:rsid w:val="003D7F85"/>
    <w:rsid w:val="003E141A"/>
    <w:rsid w:val="003E150A"/>
    <w:rsid w:val="003E4017"/>
    <w:rsid w:val="003E4735"/>
    <w:rsid w:val="003F141F"/>
    <w:rsid w:val="003F21B6"/>
    <w:rsid w:val="003F68BB"/>
    <w:rsid w:val="003F7D07"/>
    <w:rsid w:val="0040273F"/>
    <w:rsid w:val="00402767"/>
    <w:rsid w:val="004047BC"/>
    <w:rsid w:val="00404AD2"/>
    <w:rsid w:val="00407053"/>
    <w:rsid w:val="004105CD"/>
    <w:rsid w:val="0041146C"/>
    <w:rsid w:val="004125CD"/>
    <w:rsid w:val="00414910"/>
    <w:rsid w:val="00415740"/>
    <w:rsid w:val="00415810"/>
    <w:rsid w:val="00415C65"/>
    <w:rsid w:val="00416283"/>
    <w:rsid w:val="00416AD7"/>
    <w:rsid w:val="004200D6"/>
    <w:rsid w:val="00423885"/>
    <w:rsid w:val="00424847"/>
    <w:rsid w:val="004305F8"/>
    <w:rsid w:val="00431C40"/>
    <w:rsid w:val="0044168C"/>
    <w:rsid w:val="0044185D"/>
    <w:rsid w:val="00442933"/>
    <w:rsid w:val="00442E1E"/>
    <w:rsid w:val="0044789D"/>
    <w:rsid w:val="00450CD1"/>
    <w:rsid w:val="00455B7E"/>
    <w:rsid w:val="0045620C"/>
    <w:rsid w:val="00456F32"/>
    <w:rsid w:val="004575E5"/>
    <w:rsid w:val="0045781D"/>
    <w:rsid w:val="00457859"/>
    <w:rsid w:val="00460114"/>
    <w:rsid w:val="00464470"/>
    <w:rsid w:val="00464BC8"/>
    <w:rsid w:val="00466E34"/>
    <w:rsid w:val="00470285"/>
    <w:rsid w:val="0047099A"/>
    <w:rsid w:val="00470E6B"/>
    <w:rsid w:val="00471306"/>
    <w:rsid w:val="0047339A"/>
    <w:rsid w:val="00473552"/>
    <w:rsid w:val="004743BF"/>
    <w:rsid w:val="00475F14"/>
    <w:rsid w:val="004770FF"/>
    <w:rsid w:val="00481A7F"/>
    <w:rsid w:val="00482845"/>
    <w:rsid w:val="00482B6F"/>
    <w:rsid w:val="00482EFD"/>
    <w:rsid w:val="00487324"/>
    <w:rsid w:val="00491F27"/>
    <w:rsid w:val="0049346D"/>
    <w:rsid w:val="00497C61"/>
    <w:rsid w:val="004A1546"/>
    <w:rsid w:val="004A222C"/>
    <w:rsid w:val="004A258F"/>
    <w:rsid w:val="004A33B3"/>
    <w:rsid w:val="004A7EC2"/>
    <w:rsid w:val="004B0E16"/>
    <w:rsid w:val="004B1914"/>
    <w:rsid w:val="004C0E41"/>
    <w:rsid w:val="004C2501"/>
    <w:rsid w:val="004C326F"/>
    <w:rsid w:val="004C32D9"/>
    <w:rsid w:val="004C3FA9"/>
    <w:rsid w:val="004C7805"/>
    <w:rsid w:val="004D0A4E"/>
    <w:rsid w:val="004D0F2E"/>
    <w:rsid w:val="004D143A"/>
    <w:rsid w:val="004D2226"/>
    <w:rsid w:val="004D3336"/>
    <w:rsid w:val="004D3D3F"/>
    <w:rsid w:val="004D5B62"/>
    <w:rsid w:val="004E2AE5"/>
    <w:rsid w:val="004F1273"/>
    <w:rsid w:val="004F12E4"/>
    <w:rsid w:val="004F2A1D"/>
    <w:rsid w:val="004F3CBB"/>
    <w:rsid w:val="004F4079"/>
    <w:rsid w:val="004F42FD"/>
    <w:rsid w:val="004F4534"/>
    <w:rsid w:val="004F7C19"/>
    <w:rsid w:val="00500A60"/>
    <w:rsid w:val="00502B54"/>
    <w:rsid w:val="00502EEC"/>
    <w:rsid w:val="00503492"/>
    <w:rsid w:val="005050AC"/>
    <w:rsid w:val="00506C6C"/>
    <w:rsid w:val="00506C77"/>
    <w:rsid w:val="00506D70"/>
    <w:rsid w:val="00510CEC"/>
    <w:rsid w:val="005113D5"/>
    <w:rsid w:val="00512817"/>
    <w:rsid w:val="00512D78"/>
    <w:rsid w:val="005144BD"/>
    <w:rsid w:val="0051464B"/>
    <w:rsid w:val="00515141"/>
    <w:rsid w:val="00517415"/>
    <w:rsid w:val="005179F9"/>
    <w:rsid w:val="00517BF7"/>
    <w:rsid w:val="00520CA8"/>
    <w:rsid w:val="00520F79"/>
    <w:rsid w:val="00521A1C"/>
    <w:rsid w:val="005231CD"/>
    <w:rsid w:val="0052322A"/>
    <w:rsid w:val="00523585"/>
    <w:rsid w:val="005242C1"/>
    <w:rsid w:val="00525695"/>
    <w:rsid w:val="00527BC6"/>
    <w:rsid w:val="005338DE"/>
    <w:rsid w:val="00533A91"/>
    <w:rsid w:val="0053429F"/>
    <w:rsid w:val="0053537C"/>
    <w:rsid w:val="00536D1E"/>
    <w:rsid w:val="00541B68"/>
    <w:rsid w:val="00545331"/>
    <w:rsid w:val="00550344"/>
    <w:rsid w:val="005503DC"/>
    <w:rsid w:val="00551C35"/>
    <w:rsid w:val="00552435"/>
    <w:rsid w:val="005528B0"/>
    <w:rsid w:val="0055295C"/>
    <w:rsid w:val="00553403"/>
    <w:rsid w:val="00553BF4"/>
    <w:rsid w:val="00556FE1"/>
    <w:rsid w:val="00557827"/>
    <w:rsid w:val="005618FF"/>
    <w:rsid w:val="005659FD"/>
    <w:rsid w:val="00570E16"/>
    <w:rsid w:val="00571023"/>
    <w:rsid w:val="00572472"/>
    <w:rsid w:val="0057326B"/>
    <w:rsid w:val="005732FB"/>
    <w:rsid w:val="00576825"/>
    <w:rsid w:val="00576E98"/>
    <w:rsid w:val="005779BE"/>
    <w:rsid w:val="00580129"/>
    <w:rsid w:val="005815D7"/>
    <w:rsid w:val="005821D0"/>
    <w:rsid w:val="00583248"/>
    <w:rsid w:val="005833BD"/>
    <w:rsid w:val="00587206"/>
    <w:rsid w:val="00587745"/>
    <w:rsid w:val="005901B7"/>
    <w:rsid w:val="005909C8"/>
    <w:rsid w:val="00590A04"/>
    <w:rsid w:val="0059178E"/>
    <w:rsid w:val="00591ABD"/>
    <w:rsid w:val="00597699"/>
    <w:rsid w:val="005A2BEC"/>
    <w:rsid w:val="005A33A3"/>
    <w:rsid w:val="005A5893"/>
    <w:rsid w:val="005A7749"/>
    <w:rsid w:val="005B233B"/>
    <w:rsid w:val="005B366B"/>
    <w:rsid w:val="005B4790"/>
    <w:rsid w:val="005C0C67"/>
    <w:rsid w:val="005C1983"/>
    <w:rsid w:val="005C50D7"/>
    <w:rsid w:val="005C7091"/>
    <w:rsid w:val="005C7693"/>
    <w:rsid w:val="005C76DE"/>
    <w:rsid w:val="005C76FE"/>
    <w:rsid w:val="005D1220"/>
    <w:rsid w:val="005D1D59"/>
    <w:rsid w:val="005D46D7"/>
    <w:rsid w:val="005D4B67"/>
    <w:rsid w:val="005D568C"/>
    <w:rsid w:val="005D59B1"/>
    <w:rsid w:val="005D707E"/>
    <w:rsid w:val="005E0D2F"/>
    <w:rsid w:val="005E1A41"/>
    <w:rsid w:val="005E24F7"/>
    <w:rsid w:val="005E2946"/>
    <w:rsid w:val="005E4B50"/>
    <w:rsid w:val="005E6C69"/>
    <w:rsid w:val="005F038E"/>
    <w:rsid w:val="005F0A7A"/>
    <w:rsid w:val="005F1707"/>
    <w:rsid w:val="005F47DE"/>
    <w:rsid w:val="005F66E9"/>
    <w:rsid w:val="005F6709"/>
    <w:rsid w:val="00601FCB"/>
    <w:rsid w:val="00603D2F"/>
    <w:rsid w:val="00604280"/>
    <w:rsid w:val="00610912"/>
    <w:rsid w:val="00610E67"/>
    <w:rsid w:val="0061123B"/>
    <w:rsid w:val="0061379B"/>
    <w:rsid w:val="006173C4"/>
    <w:rsid w:val="00617974"/>
    <w:rsid w:val="00621BD3"/>
    <w:rsid w:val="0062238D"/>
    <w:rsid w:val="0062272E"/>
    <w:rsid w:val="006227CD"/>
    <w:rsid w:val="00622A23"/>
    <w:rsid w:val="00622E8D"/>
    <w:rsid w:val="0062395B"/>
    <w:rsid w:val="00625DAF"/>
    <w:rsid w:val="0062615A"/>
    <w:rsid w:val="00627BA3"/>
    <w:rsid w:val="00637081"/>
    <w:rsid w:val="0063734F"/>
    <w:rsid w:val="00637F3F"/>
    <w:rsid w:val="0064089E"/>
    <w:rsid w:val="00642B5B"/>
    <w:rsid w:val="00643762"/>
    <w:rsid w:val="0064388E"/>
    <w:rsid w:val="00647CEC"/>
    <w:rsid w:val="00647E18"/>
    <w:rsid w:val="00650D03"/>
    <w:rsid w:val="0065308E"/>
    <w:rsid w:val="00653993"/>
    <w:rsid w:val="00654562"/>
    <w:rsid w:val="006560C3"/>
    <w:rsid w:val="00656A37"/>
    <w:rsid w:val="00657BC8"/>
    <w:rsid w:val="006604BF"/>
    <w:rsid w:val="006606AB"/>
    <w:rsid w:val="00662037"/>
    <w:rsid w:val="006622F4"/>
    <w:rsid w:val="00662324"/>
    <w:rsid w:val="00662C6C"/>
    <w:rsid w:val="00663FAF"/>
    <w:rsid w:val="006708F1"/>
    <w:rsid w:val="006719E2"/>
    <w:rsid w:val="00671A37"/>
    <w:rsid w:val="00673265"/>
    <w:rsid w:val="00676CF6"/>
    <w:rsid w:val="006773E4"/>
    <w:rsid w:val="006811B5"/>
    <w:rsid w:val="00683E11"/>
    <w:rsid w:val="00684271"/>
    <w:rsid w:val="006845B5"/>
    <w:rsid w:val="006907B3"/>
    <w:rsid w:val="00691AD8"/>
    <w:rsid w:val="006923BF"/>
    <w:rsid w:val="006926F9"/>
    <w:rsid w:val="00692879"/>
    <w:rsid w:val="00693E12"/>
    <w:rsid w:val="00695DAC"/>
    <w:rsid w:val="006970C6"/>
    <w:rsid w:val="006A095B"/>
    <w:rsid w:val="006A11F7"/>
    <w:rsid w:val="006A69B9"/>
    <w:rsid w:val="006A6BB6"/>
    <w:rsid w:val="006A72E9"/>
    <w:rsid w:val="006A769B"/>
    <w:rsid w:val="006A7B01"/>
    <w:rsid w:val="006B3194"/>
    <w:rsid w:val="006B5A1B"/>
    <w:rsid w:val="006B7AAA"/>
    <w:rsid w:val="006B7CC9"/>
    <w:rsid w:val="006C0462"/>
    <w:rsid w:val="006C09EF"/>
    <w:rsid w:val="006C117D"/>
    <w:rsid w:val="006C29FA"/>
    <w:rsid w:val="006C3F6B"/>
    <w:rsid w:val="006C4610"/>
    <w:rsid w:val="006C58CD"/>
    <w:rsid w:val="006C6043"/>
    <w:rsid w:val="006C7DD7"/>
    <w:rsid w:val="006D1219"/>
    <w:rsid w:val="006D274E"/>
    <w:rsid w:val="006D277F"/>
    <w:rsid w:val="006D57AE"/>
    <w:rsid w:val="006E3B0F"/>
    <w:rsid w:val="006E5C40"/>
    <w:rsid w:val="006E765C"/>
    <w:rsid w:val="006E7C52"/>
    <w:rsid w:val="006E7F7E"/>
    <w:rsid w:val="006F1665"/>
    <w:rsid w:val="006F4E4B"/>
    <w:rsid w:val="006F51F0"/>
    <w:rsid w:val="006F5964"/>
    <w:rsid w:val="006F69A8"/>
    <w:rsid w:val="006F6BAA"/>
    <w:rsid w:val="006F761D"/>
    <w:rsid w:val="007036CC"/>
    <w:rsid w:val="00705910"/>
    <w:rsid w:val="00707E26"/>
    <w:rsid w:val="00720305"/>
    <w:rsid w:val="00721765"/>
    <w:rsid w:val="00722532"/>
    <w:rsid w:val="00722DEB"/>
    <w:rsid w:val="00726191"/>
    <w:rsid w:val="007263D5"/>
    <w:rsid w:val="00726E9D"/>
    <w:rsid w:val="007303C3"/>
    <w:rsid w:val="00733470"/>
    <w:rsid w:val="00733D2E"/>
    <w:rsid w:val="00735A5F"/>
    <w:rsid w:val="00742DE6"/>
    <w:rsid w:val="00744C99"/>
    <w:rsid w:val="007465F3"/>
    <w:rsid w:val="007469C1"/>
    <w:rsid w:val="007478CB"/>
    <w:rsid w:val="0075081E"/>
    <w:rsid w:val="00754B26"/>
    <w:rsid w:val="00756040"/>
    <w:rsid w:val="0075617C"/>
    <w:rsid w:val="007561DC"/>
    <w:rsid w:val="00757AFD"/>
    <w:rsid w:val="00761218"/>
    <w:rsid w:val="007623C6"/>
    <w:rsid w:val="00762813"/>
    <w:rsid w:val="00764F7F"/>
    <w:rsid w:val="00765020"/>
    <w:rsid w:val="00766AF3"/>
    <w:rsid w:val="007675EB"/>
    <w:rsid w:val="007715C6"/>
    <w:rsid w:val="007719C2"/>
    <w:rsid w:val="00771B5C"/>
    <w:rsid w:val="00771E97"/>
    <w:rsid w:val="007729C0"/>
    <w:rsid w:val="00774B5B"/>
    <w:rsid w:val="0077709B"/>
    <w:rsid w:val="00777415"/>
    <w:rsid w:val="00777FD0"/>
    <w:rsid w:val="0078021B"/>
    <w:rsid w:val="00781B9E"/>
    <w:rsid w:val="007828B2"/>
    <w:rsid w:val="00783F34"/>
    <w:rsid w:val="0079217E"/>
    <w:rsid w:val="00793874"/>
    <w:rsid w:val="00793DE9"/>
    <w:rsid w:val="007942C8"/>
    <w:rsid w:val="00795808"/>
    <w:rsid w:val="0079597D"/>
    <w:rsid w:val="0079632F"/>
    <w:rsid w:val="00796AE6"/>
    <w:rsid w:val="007974D1"/>
    <w:rsid w:val="007A0FA6"/>
    <w:rsid w:val="007A308E"/>
    <w:rsid w:val="007A3099"/>
    <w:rsid w:val="007A3A4B"/>
    <w:rsid w:val="007A4573"/>
    <w:rsid w:val="007A4C37"/>
    <w:rsid w:val="007A4DE9"/>
    <w:rsid w:val="007A61BE"/>
    <w:rsid w:val="007B00CC"/>
    <w:rsid w:val="007B1409"/>
    <w:rsid w:val="007B1A5A"/>
    <w:rsid w:val="007B2A7A"/>
    <w:rsid w:val="007B4F29"/>
    <w:rsid w:val="007B50CC"/>
    <w:rsid w:val="007B5D6A"/>
    <w:rsid w:val="007B7D38"/>
    <w:rsid w:val="007C3FB8"/>
    <w:rsid w:val="007C4BE1"/>
    <w:rsid w:val="007C5FC3"/>
    <w:rsid w:val="007C765B"/>
    <w:rsid w:val="007D0E5D"/>
    <w:rsid w:val="007D1859"/>
    <w:rsid w:val="007D1B74"/>
    <w:rsid w:val="007D1D1F"/>
    <w:rsid w:val="007D6EAE"/>
    <w:rsid w:val="007E3E4D"/>
    <w:rsid w:val="007E40B4"/>
    <w:rsid w:val="007E4CC2"/>
    <w:rsid w:val="007F0E02"/>
    <w:rsid w:val="007F1863"/>
    <w:rsid w:val="007F248E"/>
    <w:rsid w:val="007F29FF"/>
    <w:rsid w:val="007F33E6"/>
    <w:rsid w:val="007F51D4"/>
    <w:rsid w:val="007F6BAF"/>
    <w:rsid w:val="007F7397"/>
    <w:rsid w:val="007F7423"/>
    <w:rsid w:val="008001AA"/>
    <w:rsid w:val="00800210"/>
    <w:rsid w:val="00801CB2"/>
    <w:rsid w:val="00802734"/>
    <w:rsid w:val="008038A5"/>
    <w:rsid w:val="00803C80"/>
    <w:rsid w:val="00803D7E"/>
    <w:rsid w:val="00803E7E"/>
    <w:rsid w:val="0080588E"/>
    <w:rsid w:val="008104CC"/>
    <w:rsid w:val="0081054E"/>
    <w:rsid w:val="0081100E"/>
    <w:rsid w:val="00813138"/>
    <w:rsid w:val="00815922"/>
    <w:rsid w:val="00815DB3"/>
    <w:rsid w:val="00820E6D"/>
    <w:rsid w:val="00824252"/>
    <w:rsid w:val="00824F5B"/>
    <w:rsid w:val="00825273"/>
    <w:rsid w:val="0082594C"/>
    <w:rsid w:val="0082679D"/>
    <w:rsid w:val="008312C6"/>
    <w:rsid w:val="00831FDA"/>
    <w:rsid w:val="00832B1A"/>
    <w:rsid w:val="0083327C"/>
    <w:rsid w:val="00833A77"/>
    <w:rsid w:val="00833AF5"/>
    <w:rsid w:val="00836743"/>
    <w:rsid w:val="0084230F"/>
    <w:rsid w:val="00842686"/>
    <w:rsid w:val="00844A34"/>
    <w:rsid w:val="00847A12"/>
    <w:rsid w:val="00851BA8"/>
    <w:rsid w:val="00852CBA"/>
    <w:rsid w:val="00855D8E"/>
    <w:rsid w:val="00857936"/>
    <w:rsid w:val="00861298"/>
    <w:rsid w:val="00870DFC"/>
    <w:rsid w:val="008729D8"/>
    <w:rsid w:val="00872F5A"/>
    <w:rsid w:val="00874C1B"/>
    <w:rsid w:val="0087511D"/>
    <w:rsid w:val="00875D2B"/>
    <w:rsid w:val="0088036E"/>
    <w:rsid w:val="00880E9F"/>
    <w:rsid w:val="00882B4F"/>
    <w:rsid w:val="00883C0B"/>
    <w:rsid w:val="00887CE3"/>
    <w:rsid w:val="008905D3"/>
    <w:rsid w:val="0089090A"/>
    <w:rsid w:val="00891323"/>
    <w:rsid w:val="008928FF"/>
    <w:rsid w:val="0089317D"/>
    <w:rsid w:val="00895115"/>
    <w:rsid w:val="00895F27"/>
    <w:rsid w:val="008962AC"/>
    <w:rsid w:val="00897A88"/>
    <w:rsid w:val="008A0059"/>
    <w:rsid w:val="008A01FD"/>
    <w:rsid w:val="008A0449"/>
    <w:rsid w:val="008A115C"/>
    <w:rsid w:val="008A2B11"/>
    <w:rsid w:val="008A2D01"/>
    <w:rsid w:val="008A3D9D"/>
    <w:rsid w:val="008A5300"/>
    <w:rsid w:val="008A7998"/>
    <w:rsid w:val="008B10C8"/>
    <w:rsid w:val="008B129E"/>
    <w:rsid w:val="008B1AA1"/>
    <w:rsid w:val="008B1F0F"/>
    <w:rsid w:val="008B5D52"/>
    <w:rsid w:val="008B7036"/>
    <w:rsid w:val="008C1AA1"/>
    <w:rsid w:val="008C232F"/>
    <w:rsid w:val="008C2C45"/>
    <w:rsid w:val="008C430B"/>
    <w:rsid w:val="008D2A83"/>
    <w:rsid w:val="008D451B"/>
    <w:rsid w:val="008D7118"/>
    <w:rsid w:val="008D7BA2"/>
    <w:rsid w:val="008E0616"/>
    <w:rsid w:val="008E1067"/>
    <w:rsid w:val="008E288A"/>
    <w:rsid w:val="008E54E5"/>
    <w:rsid w:val="008F312D"/>
    <w:rsid w:val="008F4C1E"/>
    <w:rsid w:val="008F5E79"/>
    <w:rsid w:val="008F65E7"/>
    <w:rsid w:val="008F6688"/>
    <w:rsid w:val="008F6E35"/>
    <w:rsid w:val="00900521"/>
    <w:rsid w:val="009014E5"/>
    <w:rsid w:val="009026BB"/>
    <w:rsid w:val="00903AC0"/>
    <w:rsid w:val="00905A3A"/>
    <w:rsid w:val="00907533"/>
    <w:rsid w:val="00910B4C"/>
    <w:rsid w:val="0091363D"/>
    <w:rsid w:val="00914423"/>
    <w:rsid w:val="00914F8F"/>
    <w:rsid w:val="009155A1"/>
    <w:rsid w:val="0091644D"/>
    <w:rsid w:val="00917711"/>
    <w:rsid w:val="009201DC"/>
    <w:rsid w:val="0092085B"/>
    <w:rsid w:val="009218D1"/>
    <w:rsid w:val="00923246"/>
    <w:rsid w:val="00925D1D"/>
    <w:rsid w:val="00927AF1"/>
    <w:rsid w:val="00927E64"/>
    <w:rsid w:val="009375DB"/>
    <w:rsid w:val="00937B2F"/>
    <w:rsid w:val="00940F1B"/>
    <w:rsid w:val="00944497"/>
    <w:rsid w:val="00944C23"/>
    <w:rsid w:val="00947C91"/>
    <w:rsid w:val="00952A79"/>
    <w:rsid w:val="009556F2"/>
    <w:rsid w:val="00955811"/>
    <w:rsid w:val="009572F8"/>
    <w:rsid w:val="00960A03"/>
    <w:rsid w:val="009623EA"/>
    <w:rsid w:val="00962FD5"/>
    <w:rsid w:val="00963032"/>
    <w:rsid w:val="00963151"/>
    <w:rsid w:val="00964B6F"/>
    <w:rsid w:val="0096576B"/>
    <w:rsid w:val="00965CD1"/>
    <w:rsid w:val="00972675"/>
    <w:rsid w:val="00973EE7"/>
    <w:rsid w:val="00974299"/>
    <w:rsid w:val="0097465B"/>
    <w:rsid w:val="00976935"/>
    <w:rsid w:val="00976955"/>
    <w:rsid w:val="00976EC6"/>
    <w:rsid w:val="00977213"/>
    <w:rsid w:val="00977FFC"/>
    <w:rsid w:val="00977FFE"/>
    <w:rsid w:val="00981024"/>
    <w:rsid w:val="009839C0"/>
    <w:rsid w:val="00983E11"/>
    <w:rsid w:val="00986D0F"/>
    <w:rsid w:val="0098738F"/>
    <w:rsid w:val="00987871"/>
    <w:rsid w:val="009902A0"/>
    <w:rsid w:val="0099288F"/>
    <w:rsid w:val="00992B4F"/>
    <w:rsid w:val="00997E01"/>
    <w:rsid w:val="009A311F"/>
    <w:rsid w:val="009A75EB"/>
    <w:rsid w:val="009A7940"/>
    <w:rsid w:val="009B07B4"/>
    <w:rsid w:val="009B15A2"/>
    <w:rsid w:val="009B373D"/>
    <w:rsid w:val="009B3971"/>
    <w:rsid w:val="009B4E11"/>
    <w:rsid w:val="009B6E2B"/>
    <w:rsid w:val="009B713A"/>
    <w:rsid w:val="009C0B5A"/>
    <w:rsid w:val="009C10C2"/>
    <w:rsid w:val="009C1FF0"/>
    <w:rsid w:val="009C5CEC"/>
    <w:rsid w:val="009C5D88"/>
    <w:rsid w:val="009D099F"/>
    <w:rsid w:val="009D1438"/>
    <w:rsid w:val="009D1F01"/>
    <w:rsid w:val="009D54BC"/>
    <w:rsid w:val="009D6D99"/>
    <w:rsid w:val="009D701A"/>
    <w:rsid w:val="009E006A"/>
    <w:rsid w:val="009E0CEA"/>
    <w:rsid w:val="009E24BD"/>
    <w:rsid w:val="009E281A"/>
    <w:rsid w:val="009E6341"/>
    <w:rsid w:val="009E6644"/>
    <w:rsid w:val="009E7CE2"/>
    <w:rsid w:val="009F04D2"/>
    <w:rsid w:val="009F06CD"/>
    <w:rsid w:val="009F1BEC"/>
    <w:rsid w:val="009F5F17"/>
    <w:rsid w:val="009F69B8"/>
    <w:rsid w:val="009F791A"/>
    <w:rsid w:val="00A0056F"/>
    <w:rsid w:val="00A006C4"/>
    <w:rsid w:val="00A00BB2"/>
    <w:rsid w:val="00A01532"/>
    <w:rsid w:val="00A0171A"/>
    <w:rsid w:val="00A045D8"/>
    <w:rsid w:val="00A0570E"/>
    <w:rsid w:val="00A066F0"/>
    <w:rsid w:val="00A06B28"/>
    <w:rsid w:val="00A079D7"/>
    <w:rsid w:val="00A113C5"/>
    <w:rsid w:val="00A117E6"/>
    <w:rsid w:val="00A11860"/>
    <w:rsid w:val="00A133DA"/>
    <w:rsid w:val="00A1367E"/>
    <w:rsid w:val="00A1537A"/>
    <w:rsid w:val="00A203D9"/>
    <w:rsid w:val="00A2164D"/>
    <w:rsid w:val="00A21E3E"/>
    <w:rsid w:val="00A25940"/>
    <w:rsid w:val="00A27FB8"/>
    <w:rsid w:val="00A3303B"/>
    <w:rsid w:val="00A334B1"/>
    <w:rsid w:val="00A35069"/>
    <w:rsid w:val="00A350F0"/>
    <w:rsid w:val="00A4293B"/>
    <w:rsid w:val="00A429C5"/>
    <w:rsid w:val="00A43529"/>
    <w:rsid w:val="00A4461D"/>
    <w:rsid w:val="00A450C6"/>
    <w:rsid w:val="00A45AC9"/>
    <w:rsid w:val="00A466EE"/>
    <w:rsid w:val="00A47B36"/>
    <w:rsid w:val="00A5111A"/>
    <w:rsid w:val="00A51CFD"/>
    <w:rsid w:val="00A53915"/>
    <w:rsid w:val="00A54024"/>
    <w:rsid w:val="00A5460F"/>
    <w:rsid w:val="00A61EFF"/>
    <w:rsid w:val="00A62D73"/>
    <w:rsid w:val="00A7027C"/>
    <w:rsid w:val="00A70702"/>
    <w:rsid w:val="00A71731"/>
    <w:rsid w:val="00A748B1"/>
    <w:rsid w:val="00A75079"/>
    <w:rsid w:val="00A772EC"/>
    <w:rsid w:val="00A81759"/>
    <w:rsid w:val="00A825FA"/>
    <w:rsid w:val="00A83E3F"/>
    <w:rsid w:val="00A85461"/>
    <w:rsid w:val="00A9036F"/>
    <w:rsid w:val="00A91E1F"/>
    <w:rsid w:val="00A92789"/>
    <w:rsid w:val="00A97E28"/>
    <w:rsid w:val="00AA1948"/>
    <w:rsid w:val="00AA2402"/>
    <w:rsid w:val="00AA378F"/>
    <w:rsid w:val="00AA3EDF"/>
    <w:rsid w:val="00AA4C01"/>
    <w:rsid w:val="00AA56E5"/>
    <w:rsid w:val="00AB0584"/>
    <w:rsid w:val="00AB1310"/>
    <w:rsid w:val="00AB2D00"/>
    <w:rsid w:val="00AB3AE8"/>
    <w:rsid w:val="00AB4461"/>
    <w:rsid w:val="00AB45C6"/>
    <w:rsid w:val="00AB4C0E"/>
    <w:rsid w:val="00AB4DCA"/>
    <w:rsid w:val="00AB5D1E"/>
    <w:rsid w:val="00AB615C"/>
    <w:rsid w:val="00AB6418"/>
    <w:rsid w:val="00AB6C76"/>
    <w:rsid w:val="00AB7A5E"/>
    <w:rsid w:val="00AC0124"/>
    <w:rsid w:val="00AC118A"/>
    <w:rsid w:val="00AC5F9C"/>
    <w:rsid w:val="00AD33D5"/>
    <w:rsid w:val="00AD5354"/>
    <w:rsid w:val="00AD5803"/>
    <w:rsid w:val="00AD583B"/>
    <w:rsid w:val="00AE0E3B"/>
    <w:rsid w:val="00AE1E3B"/>
    <w:rsid w:val="00AE2922"/>
    <w:rsid w:val="00AE4ED9"/>
    <w:rsid w:val="00AE5D8C"/>
    <w:rsid w:val="00AE6B2D"/>
    <w:rsid w:val="00AE755A"/>
    <w:rsid w:val="00AF13C6"/>
    <w:rsid w:val="00AF250C"/>
    <w:rsid w:val="00AF2682"/>
    <w:rsid w:val="00AF3686"/>
    <w:rsid w:val="00AF6B2F"/>
    <w:rsid w:val="00AF78D0"/>
    <w:rsid w:val="00AF7F1A"/>
    <w:rsid w:val="00B00664"/>
    <w:rsid w:val="00B01ED7"/>
    <w:rsid w:val="00B02170"/>
    <w:rsid w:val="00B02E04"/>
    <w:rsid w:val="00B03D6B"/>
    <w:rsid w:val="00B0513A"/>
    <w:rsid w:val="00B06473"/>
    <w:rsid w:val="00B10A73"/>
    <w:rsid w:val="00B10B0D"/>
    <w:rsid w:val="00B10FAD"/>
    <w:rsid w:val="00B136C4"/>
    <w:rsid w:val="00B21606"/>
    <w:rsid w:val="00B216A3"/>
    <w:rsid w:val="00B229FB"/>
    <w:rsid w:val="00B23B2F"/>
    <w:rsid w:val="00B24904"/>
    <w:rsid w:val="00B25FC2"/>
    <w:rsid w:val="00B27488"/>
    <w:rsid w:val="00B32865"/>
    <w:rsid w:val="00B33853"/>
    <w:rsid w:val="00B338E2"/>
    <w:rsid w:val="00B33903"/>
    <w:rsid w:val="00B344C5"/>
    <w:rsid w:val="00B352D0"/>
    <w:rsid w:val="00B36423"/>
    <w:rsid w:val="00B3744E"/>
    <w:rsid w:val="00B42430"/>
    <w:rsid w:val="00B47A0B"/>
    <w:rsid w:val="00B55255"/>
    <w:rsid w:val="00B554EE"/>
    <w:rsid w:val="00B55671"/>
    <w:rsid w:val="00B55C0D"/>
    <w:rsid w:val="00B55DC7"/>
    <w:rsid w:val="00B60E9C"/>
    <w:rsid w:val="00B6364F"/>
    <w:rsid w:val="00B63797"/>
    <w:rsid w:val="00B67101"/>
    <w:rsid w:val="00B67111"/>
    <w:rsid w:val="00B67849"/>
    <w:rsid w:val="00B7421D"/>
    <w:rsid w:val="00B75D5E"/>
    <w:rsid w:val="00B768A2"/>
    <w:rsid w:val="00B822B1"/>
    <w:rsid w:val="00B831FE"/>
    <w:rsid w:val="00B8372C"/>
    <w:rsid w:val="00B84D83"/>
    <w:rsid w:val="00B8679F"/>
    <w:rsid w:val="00B90B4B"/>
    <w:rsid w:val="00B90CFF"/>
    <w:rsid w:val="00B92E7E"/>
    <w:rsid w:val="00B92FF9"/>
    <w:rsid w:val="00B93AF2"/>
    <w:rsid w:val="00B94C4E"/>
    <w:rsid w:val="00B96BA2"/>
    <w:rsid w:val="00BA3C1C"/>
    <w:rsid w:val="00BA3F47"/>
    <w:rsid w:val="00BA703E"/>
    <w:rsid w:val="00BB0C26"/>
    <w:rsid w:val="00BB1415"/>
    <w:rsid w:val="00BB3832"/>
    <w:rsid w:val="00BB528C"/>
    <w:rsid w:val="00BB6692"/>
    <w:rsid w:val="00BB682F"/>
    <w:rsid w:val="00BC19F7"/>
    <w:rsid w:val="00BC515F"/>
    <w:rsid w:val="00BC6316"/>
    <w:rsid w:val="00BC6BB4"/>
    <w:rsid w:val="00BC6C9C"/>
    <w:rsid w:val="00BD1F9A"/>
    <w:rsid w:val="00BD230A"/>
    <w:rsid w:val="00BD31E0"/>
    <w:rsid w:val="00BD3545"/>
    <w:rsid w:val="00BD3885"/>
    <w:rsid w:val="00BD3942"/>
    <w:rsid w:val="00BD6458"/>
    <w:rsid w:val="00BD7A10"/>
    <w:rsid w:val="00BD7B61"/>
    <w:rsid w:val="00BE111C"/>
    <w:rsid w:val="00BE15FC"/>
    <w:rsid w:val="00BE2822"/>
    <w:rsid w:val="00BE4FF8"/>
    <w:rsid w:val="00BE535B"/>
    <w:rsid w:val="00BE725A"/>
    <w:rsid w:val="00BE75B9"/>
    <w:rsid w:val="00BF009B"/>
    <w:rsid w:val="00BF1717"/>
    <w:rsid w:val="00BF1E20"/>
    <w:rsid w:val="00BF3D8B"/>
    <w:rsid w:val="00BF4507"/>
    <w:rsid w:val="00BF4661"/>
    <w:rsid w:val="00BF4AC6"/>
    <w:rsid w:val="00BF58DC"/>
    <w:rsid w:val="00BF6602"/>
    <w:rsid w:val="00BF6981"/>
    <w:rsid w:val="00BF6F19"/>
    <w:rsid w:val="00BF7787"/>
    <w:rsid w:val="00C04E3C"/>
    <w:rsid w:val="00C052E4"/>
    <w:rsid w:val="00C05482"/>
    <w:rsid w:val="00C12DA9"/>
    <w:rsid w:val="00C1477B"/>
    <w:rsid w:val="00C16CE0"/>
    <w:rsid w:val="00C20C44"/>
    <w:rsid w:val="00C25466"/>
    <w:rsid w:val="00C2676C"/>
    <w:rsid w:val="00C27851"/>
    <w:rsid w:val="00C30BEF"/>
    <w:rsid w:val="00C31844"/>
    <w:rsid w:val="00C32C66"/>
    <w:rsid w:val="00C36C20"/>
    <w:rsid w:val="00C36E50"/>
    <w:rsid w:val="00C372EA"/>
    <w:rsid w:val="00C372F3"/>
    <w:rsid w:val="00C4064C"/>
    <w:rsid w:val="00C42D1C"/>
    <w:rsid w:val="00C43B14"/>
    <w:rsid w:val="00C43DCD"/>
    <w:rsid w:val="00C4589F"/>
    <w:rsid w:val="00C51003"/>
    <w:rsid w:val="00C516CF"/>
    <w:rsid w:val="00C53798"/>
    <w:rsid w:val="00C54F4D"/>
    <w:rsid w:val="00C56D80"/>
    <w:rsid w:val="00C571F6"/>
    <w:rsid w:val="00C60E68"/>
    <w:rsid w:val="00C61320"/>
    <w:rsid w:val="00C65131"/>
    <w:rsid w:val="00C66836"/>
    <w:rsid w:val="00C66D60"/>
    <w:rsid w:val="00C67DF1"/>
    <w:rsid w:val="00C67EBC"/>
    <w:rsid w:val="00C7101F"/>
    <w:rsid w:val="00C713D8"/>
    <w:rsid w:val="00C717B1"/>
    <w:rsid w:val="00C72558"/>
    <w:rsid w:val="00C75A0E"/>
    <w:rsid w:val="00C75A8A"/>
    <w:rsid w:val="00C76084"/>
    <w:rsid w:val="00C77048"/>
    <w:rsid w:val="00C770C3"/>
    <w:rsid w:val="00C807A7"/>
    <w:rsid w:val="00C80A08"/>
    <w:rsid w:val="00C8165F"/>
    <w:rsid w:val="00C81BD5"/>
    <w:rsid w:val="00C82AEC"/>
    <w:rsid w:val="00C82B94"/>
    <w:rsid w:val="00C82FF5"/>
    <w:rsid w:val="00C84C78"/>
    <w:rsid w:val="00C85844"/>
    <w:rsid w:val="00C863D8"/>
    <w:rsid w:val="00C93EDF"/>
    <w:rsid w:val="00C95F5D"/>
    <w:rsid w:val="00C97DE2"/>
    <w:rsid w:val="00C97DE3"/>
    <w:rsid w:val="00CA0E75"/>
    <w:rsid w:val="00CA40CE"/>
    <w:rsid w:val="00CA421B"/>
    <w:rsid w:val="00CA4E6A"/>
    <w:rsid w:val="00CA5BB0"/>
    <w:rsid w:val="00CA75BE"/>
    <w:rsid w:val="00CA7673"/>
    <w:rsid w:val="00CA784D"/>
    <w:rsid w:val="00CB0AC3"/>
    <w:rsid w:val="00CB1935"/>
    <w:rsid w:val="00CB286A"/>
    <w:rsid w:val="00CB4DD7"/>
    <w:rsid w:val="00CB692D"/>
    <w:rsid w:val="00CB6F54"/>
    <w:rsid w:val="00CB7450"/>
    <w:rsid w:val="00CC0AE4"/>
    <w:rsid w:val="00CC2149"/>
    <w:rsid w:val="00CC2FE5"/>
    <w:rsid w:val="00CC7234"/>
    <w:rsid w:val="00CD0DCF"/>
    <w:rsid w:val="00CD344C"/>
    <w:rsid w:val="00CD41A2"/>
    <w:rsid w:val="00CD4200"/>
    <w:rsid w:val="00CD429D"/>
    <w:rsid w:val="00CD452D"/>
    <w:rsid w:val="00CD6261"/>
    <w:rsid w:val="00CD638B"/>
    <w:rsid w:val="00CE1C98"/>
    <w:rsid w:val="00CE2302"/>
    <w:rsid w:val="00CE336B"/>
    <w:rsid w:val="00CE34C5"/>
    <w:rsid w:val="00CE35E5"/>
    <w:rsid w:val="00CE6848"/>
    <w:rsid w:val="00CE7F15"/>
    <w:rsid w:val="00CF04C1"/>
    <w:rsid w:val="00CF0982"/>
    <w:rsid w:val="00CF3543"/>
    <w:rsid w:val="00CF5342"/>
    <w:rsid w:val="00CF5ACB"/>
    <w:rsid w:val="00CF5D37"/>
    <w:rsid w:val="00CF6B39"/>
    <w:rsid w:val="00D0067C"/>
    <w:rsid w:val="00D00DBB"/>
    <w:rsid w:val="00D013AA"/>
    <w:rsid w:val="00D01A04"/>
    <w:rsid w:val="00D02203"/>
    <w:rsid w:val="00D0294D"/>
    <w:rsid w:val="00D035FB"/>
    <w:rsid w:val="00D102E2"/>
    <w:rsid w:val="00D12E26"/>
    <w:rsid w:val="00D162A1"/>
    <w:rsid w:val="00D2128F"/>
    <w:rsid w:val="00D21F38"/>
    <w:rsid w:val="00D232F3"/>
    <w:rsid w:val="00D23453"/>
    <w:rsid w:val="00D248BD"/>
    <w:rsid w:val="00D26A66"/>
    <w:rsid w:val="00D30940"/>
    <w:rsid w:val="00D3270A"/>
    <w:rsid w:val="00D32E96"/>
    <w:rsid w:val="00D33A16"/>
    <w:rsid w:val="00D33A1E"/>
    <w:rsid w:val="00D34347"/>
    <w:rsid w:val="00D35381"/>
    <w:rsid w:val="00D35928"/>
    <w:rsid w:val="00D35D0A"/>
    <w:rsid w:val="00D40F9E"/>
    <w:rsid w:val="00D420DD"/>
    <w:rsid w:val="00D42CC7"/>
    <w:rsid w:val="00D45A49"/>
    <w:rsid w:val="00D45FB9"/>
    <w:rsid w:val="00D52631"/>
    <w:rsid w:val="00D53C28"/>
    <w:rsid w:val="00D541A2"/>
    <w:rsid w:val="00D550FB"/>
    <w:rsid w:val="00D560A9"/>
    <w:rsid w:val="00D562E4"/>
    <w:rsid w:val="00D61B67"/>
    <w:rsid w:val="00D61B7C"/>
    <w:rsid w:val="00D6236A"/>
    <w:rsid w:val="00D64C5D"/>
    <w:rsid w:val="00D66829"/>
    <w:rsid w:val="00D7016D"/>
    <w:rsid w:val="00D71691"/>
    <w:rsid w:val="00D71C97"/>
    <w:rsid w:val="00D725BE"/>
    <w:rsid w:val="00D75DE4"/>
    <w:rsid w:val="00D76CCD"/>
    <w:rsid w:val="00D77890"/>
    <w:rsid w:val="00D800B1"/>
    <w:rsid w:val="00D819C1"/>
    <w:rsid w:val="00D82CE4"/>
    <w:rsid w:val="00D847C6"/>
    <w:rsid w:val="00D8627A"/>
    <w:rsid w:val="00D87216"/>
    <w:rsid w:val="00D87961"/>
    <w:rsid w:val="00D87962"/>
    <w:rsid w:val="00D90022"/>
    <w:rsid w:val="00D90734"/>
    <w:rsid w:val="00D913D6"/>
    <w:rsid w:val="00D91B03"/>
    <w:rsid w:val="00D92ABF"/>
    <w:rsid w:val="00D94099"/>
    <w:rsid w:val="00D95666"/>
    <w:rsid w:val="00D95FB4"/>
    <w:rsid w:val="00D97774"/>
    <w:rsid w:val="00D97F1E"/>
    <w:rsid w:val="00DA206C"/>
    <w:rsid w:val="00DA2890"/>
    <w:rsid w:val="00DA3212"/>
    <w:rsid w:val="00DA3423"/>
    <w:rsid w:val="00DA3960"/>
    <w:rsid w:val="00DA39D6"/>
    <w:rsid w:val="00DA4104"/>
    <w:rsid w:val="00DA4744"/>
    <w:rsid w:val="00DA491C"/>
    <w:rsid w:val="00DA555D"/>
    <w:rsid w:val="00DA70B3"/>
    <w:rsid w:val="00DB0B0F"/>
    <w:rsid w:val="00DB31D5"/>
    <w:rsid w:val="00DB32E6"/>
    <w:rsid w:val="00DB4575"/>
    <w:rsid w:val="00DB5F26"/>
    <w:rsid w:val="00DC2CA5"/>
    <w:rsid w:val="00DC7607"/>
    <w:rsid w:val="00DC7F0E"/>
    <w:rsid w:val="00DD195E"/>
    <w:rsid w:val="00DD33B6"/>
    <w:rsid w:val="00DD7556"/>
    <w:rsid w:val="00DE0C05"/>
    <w:rsid w:val="00DE467B"/>
    <w:rsid w:val="00DE4FF7"/>
    <w:rsid w:val="00DE57E7"/>
    <w:rsid w:val="00DE6FE1"/>
    <w:rsid w:val="00DE7157"/>
    <w:rsid w:val="00DE79DC"/>
    <w:rsid w:val="00DE7F38"/>
    <w:rsid w:val="00DF3E5D"/>
    <w:rsid w:val="00DF4A01"/>
    <w:rsid w:val="00DF5D7A"/>
    <w:rsid w:val="00E001FC"/>
    <w:rsid w:val="00E020D7"/>
    <w:rsid w:val="00E025DF"/>
    <w:rsid w:val="00E02899"/>
    <w:rsid w:val="00E03D4A"/>
    <w:rsid w:val="00E04EDE"/>
    <w:rsid w:val="00E05D08"/>
    <w:rsid w:val="00E078C8"/>
    <w:rsid w:val="00E07AA2"/>
    <w:rsid w:val="00E1021D"/>
    <w:rsid w:val="00E16EF7"/>
    <w:rsid w:val="00E17BC6"/>
    <w:rsid w:val="00E21953"/>
    <w:rsid w:val="00E21BE5"/>
    <w:rsid w:val="00E23318"/>
    <w:rsid w:val="00E2366E"/>
    <w:rsid w:val="00E25E8F"/>
    <w:rsid w:val="00E2743D"/>
    <w:rsid w:val="00E30B5F"/>
    <w:rsid w:val="00E32DB7"/>
    <w:rsid w:val="00E35CDC"/>
    <w:rsid w:val="00E374CC"/>
    <w:rsid w:val="00E40F29"/>
    <w:rsid w:val="00E45E3B"/>
    <w:rsid w:val="00E47AD9"/>
    <w:rsid w:val="00E47E1F"/>
    <w:rsid w:val="00E50504"/>
    <w:rsid w:val="00E53CA4"/>
    <w:rsid w:val="00E5751A"/>
    <w:rsid w:val="00E61097"/>
    <w:rsid w:val="00E6310E"/>
    <w:rsid w:val="00E63E6B"/>
    <w:rsid w:val="00E64A78"/>
    <w:rsid w:val="00E65F5E"/>
    <w:rsid w:val="00E66603"/>
    <w:rsid w:val="00E67421"/>
    <w:rsid w:val="00E80550"/>
    <w:rsid w:val="00E81116"/>
    <w:rsid w:val="00E843A1"/>
    <w:rsid w:val="00E84BFF"/>
    <w:rsid w:val="00E84EDE"/>
    <w:rsid w:val="00E854DE"/>
    <w:rsid w:val="00E865FA"/>
    <w:rsid w:val="00E8743D"/>
    <w:rsid w:val="00E932AE"/>
    <w:rsid w:val="00E9420C"/>
    <w:rsid w:val="00E94E86"/>
    <w:rsid w:val="00E95D09"/>
    <w:rsid w:val="00E9702F"/>
    <w:rsid w:val="00EA0689"/>
    <w:rsid w:val="00EA375C"/>
    <w:rsid w:val="00EA3A6F"/>
    <w:rsid w:val="00EA7B42"/>
    <w:rsid w:val="00EA7C43"/>
    <w:rsid w:val="00EB1E89"/>
    <w:rsid w:val="00EB2881"/>
    <w:rsid w:val="00EB5CE3"/>
    <w:rsid w:val="00EC0F16"/>
    <w:rsid w:val="00EC40FE"/>
    <w:rsid w:val="00EC4645"/>
    <w:rsid w:val="00EC54F6"/>
    <w:rsid w:val="00EC74E3"/>
    <w:rsid w:val="00EC7D31"/>
    <w:rsid w:val="00ED1D15"/>
    <w:rsid w:val="00ED327C"/>
    <w:rsid w:val="00ED36AA"/>
    <w:rsid w:val="00ED493C"/>
    <w:rsid w:val="00ED5C9A"/>
    <w:rsid w:val="00ED68CD"/>
    <w:rsid w:val="00EE0E88"/>
    <w:rsid w:val="00EE3D21"/>
    <w:rsid w:val="00EE4291"/>
    <w:rsid w:val="00EF30C8"/>
    <w:rsid w:val="00EF5BB8"/>
    <w:rsid w:val="00EF5BE4"/>
    <w:rsid w:val="00EF6C7F"/>
    <w:rsid w:val="00EF70D5"/>
    <w:rsid w:val="00EF720C"/>
    <w:rsid w:val="00EF7D45"/>
    <w:rsid w:val="00F02C8C"/>
    <w:rsid w:val="00F043CC"/>
    <w:rsid w:val="00F04BA9"/>
    <w:rsid w:val="00F04C38"/>
    <w:rsid w:val="00F05597"/>
    <w:rsid w:val="00F05B5E"/>
    <w:rsid w:val="00F07C36"/>
    <w:rsid w:val="00F07EE3"/>
    <w:rsid w:val="00F1047B"/>
    <w:rsid w:val="00F1203F"/>
    <w:rsid w:val="00F12E83"/>
    <w:rsid w:val="00F13E09"/>
    <w:rsid w:val="00F14C81"/>
    <w:rsid w:val="00F15484"/>
    <w:rsid w:val="00F1604C"/>
    <w:rsid w:val="00F1727D"/>
    <w:rsid w:val="00F17556"/>
    <w:rsid w:val="00F17EAA"/>
    <w:rsid w:val="00F17F73"/>
    <w:rsid w:val="00F25663"/>
    <w:rsid w:val="00F2614A"/>
    <w:rsid w:val="00F27907"/>
    <w:rsid w:val="00F307EA"/>
    <w:rsid w:val="00F32E9C"/>
    <w:rsid w:val="00F33483"/>
    <w:rsid w:val="00F33E51"/>
    <w:rsid w:val="00F347FB"/>
    <w:rsid w:val="00F36561"/>
    <w:rsid w:val="00F365D7"/>
    <w:rsid w:val="00F40B7A"/>
    <w:rsid w:val="00F43B91"/>
    <w:rsid w:val="00F457D8"/>
    <w:rsid w:val="00F45F9F"/>
    <w:rsid w:val="00F4797F"/>
    <w:rsid w:val="00F52361"/>
    <w:rsid w:val="00F5281D"/>
    <w:rsid w:val="00F531DD"/>
    <w:rsid w:val="00F53CDC"/>
    <w:rsid w:val="00F53E1C"/>
    <w:rsid w:val="00F54C9B"/>
    <w:rsid w:val="00F55469"/>
    <w:rsid w:val="00F558F0"/>
    <w:rsid w:val="00F55B14"/>
    <w:rsid w:val="00F61703"/>
    <w:rsid w:val="00F61D85"/>
    <w:rsid w:val="00F63E4F"/>
    <w:rsid w:val="00F64185"/>
    <w:rsid w:val="00F643FA"/>
    <w:rsid w:val="00F64FB1"/>
    <w:rsid w:val="00F67481"/>
    <w:rsid w:val="00F7048B"/>
    <w:rsid w:val="00F7072A"/>
    <w:rsid w:val="00F70937"/>
    <w:rsid w:val="00F7104A"/>
    <w:rsid w:val="00F71995"/>
    <w:rsid w:val="00F723CD"/>
    <w:rsid w:val="00F77502"/>
    <w:rsid w:val="00F81985"/>
    <w:rsid w:val="00F81C44"/>
    <w:rsid w:val="00F8230A"/>
    <w:rsid w:val="00F82D9C"/>
    <w:rsid w:val="00F84894"/>
    <w:rsid w:val="00F864D2"/>
    <w:rsid w:val="00F865C3"/>
    <w:rsid w:val="00F9022B"/>
    <w:rsid w:val="00F9030A"/>
    <w:rsid w:val="00F9171F"/>
    <w:rsid w:val="00F923A0"/>
    <w:rsid w:val="00F92F88"/>
    <w:rsid w:val="00F94405"/>
    <w:rsid w:val="00F97FBC"/>
    <w:rsid w:val="00FA0DCB"/>
    <w:rsid w:val="00FA2147"/>
    <w:rsid w:val="00FA2218"/>
    <w:rsid w:val="00FA4B60"/>
    <w:rsid w:val="00FA56CD"/>
    <w:rsid w:val="00FA7283"/>
    <w:rsid w:val="00FB19B2"/>
    <w:rsid w:val="00FB3F0F"/>
    <w:rsid w:val="00FB66BC"/>
    <w:rsid w:val="00FB6A28"/>
    <w:rsid w:val="00FB7909"/>
    <w:rsid w:val="00FC0187"/>
    <w:rsid w:val="00FC06C0"/>
    <w:rsid w:val="00FC2799"/>
    <w:rsid w:val="00FC2916"/>
    <w:rsid w:val="00FC324F"/>
    <w:rsid w:val="00FC3A79"/>
    <w:rsid w:val="00FC42DB"/>
    <w:rsid w:val="00FC4647"/>
    <w:rsid w:val="00FC6EF1"/>
    <w:rsid w:val="00FD0D74"/>
    <w:rsid w:val="00FD1B78"/>
    <w:rsid w:val="00FD3F5D"/>
    <w:rsid w:val="00FD4339"/>
    <w:rsid w:val="00FD5592"/>
    <w:rsid w:val="00FD6D48"/>
    <w:rsid w:val="00FD7A0F"/>
    <w:rsid w:val="00FE28BF"/>
    <w:rsid w:val="00FE3C74"/>
    <w:rsid w:val="00FE5ECA"/>
    <w:rsid w:val="00FF0608"/>
    <w:rsid w:val="00FF1E7B"/>
    <w:rsid w:val="00FF2526"/>
    <w:rsid w:val="00FF2DBB"/>
    <w:rsid w:val="00FF3024"/>
    <w:rsid w:val="00FF32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2622B5"/>
  <w15:docId w15:val="{62167D5D-9FCA-49DF-B9A3-B4EAD1DCC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0C40"/>
    <w:rPr>
      <w:rFonts w:ascii="Times" w:hAnsi="Times"/>
      <w:szCs w:val="24"/>
      <w:lang w:val="en-GB"/>
    </w:rPr>
  </w:style>
  <w:style w:type="paragraph" w:styleId="Heading1">
    <w:name w:val="heading 1"/>
    <w:next w:val="JACoWAuthorList"/>
    <w:link w:val="Heading1Char"/>
    <w:uiPriority w:val="9"/>
    <w:qFormat/>
    <w:rsid w:val="00310C40"/>
    <w:pPr>
      <w:keepNext/>
      <w:spacing w:after="60"/>
      <w:jc w:val="center"/>
      <w:outlineLvl w:val="0"/>
    </w:pPr>
    <w:rPr>
      <w:rFonts w:cs="Arial"/>
      <w:b/>
      <w:bCs/>
      <w:caps/>
      <w:kern w:val="32"/>
      <w:sz w:val="28"/>
      <w:szCs w:val="32"/>
      <w:lang w:val="en-GB"/>
    </w:rPr>
  </w:style>
  <w:style w:type="paragraph" w:styleId="Heading2">
    <w:name w:val="heading 2"/>
    <w:next w:val="BodyTextIndent"/>
    <w:uiPriority w:val="99"/>
    <w:semiHidden/>
    <w:qFormat/>
    <w:rsid w:val="00310C40"/>
    <w:pPr>
      <w:keepNext/>
      <w:spacing w:before="240" w:after="60"/>
      <w:jc w:val="center"/>
      <w:outlineLvl w:val="1"/>
    </w:pPr>
    <w:rPr>
      <w:rFonts w:cs="Arial"/>
      <w:b/>
      <w:bCs/>
      <w:iCs/>
      <w:caps/>
      <w:kern w:val="16"/>
      <w:sz w:val="24"/>
      <w:szCs w:val="28"/>
      <w:lang w:val="en-GB"/>
    </w:rPr>
  </w:style>
  <w:style w:type="paragraph" w:styleId="Heading3">
    <w:name w:val="heading 3"/>
    <w:next w:val="BodyTextIndent"/>
    <w:uiPriority w:val="99"/>
    <w:semiHidden/>
    <w:qFormat/>
    <w:rsid w:val="00310C40"/>
    <w:pPr>
      <w:keepNext/>
      <w:spacing w:before="120" w:after="60"/>
      <w:outlineLvl w:val="2"/>
    </w:pPr>
    <w:rPr>
      <w:rFonts w:cs="Arial"/>
      <w:bCs/>
      <w:i/>
      <w:sz w:val="24"/>
      <w:szCs w:val="26"/>
      <w:lang w:val="en-GB"/>
    </w:rPr>
  </w:style>
  <w:style w:type="paragraph" w:styleId="Heading4">
    <w:name w:val="heading 4"/>
    <w:basedOn w:val="Normal"/>
    <w:next w:val="Normal"/>
    <w:link w:val="Heading4Char"/>
    <w:uiPriority w:val="9"/>
    <w:semiHidden/>
    <w:unhideWhenUsed/>
    <w:qFormat/>
    <w:rsid w:val="00310C4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10C40"/>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10C4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10C40"/>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10C40"/>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310C40"/>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link w:val="FootnoteTextChar"/>
    <w:rsid w:val="00BA703E"/>
    <w:rPr>
      <w:sz w:val="16"/>
      <w:lang w:val="en-GB"/>
    </w:rPr>
  </w:style>
  <w:style w:type="paragraph" w:customStyle="1" w:styleId="JACoWReferenceurldoi">
    <w:name w:val="JACoW_Reference url_doi"/>
    <w:basedOn w:val="BodyTextNoIndent"/>
    <w:link w:val="JACoWReferenceurldoiChar"/>
    <w:qFormat/>
    <w:rsid w:val="0041146C"/>
    <w:rPr>
      <w:rFonts w:ascii="Liberation Mono" w:hAnsi="Liberation Mono" w:cs="Courier New"/>
      <w:sz w:val="16"/>
      <w:szCs w:val="15"/>
      <w:lang w:val="en-US"/>
    </w:rPr>
  </w:style>
  <w:style w:type="paragraph" w:customStyle="1" w:styleId="JACoWAuthorList">
    <w:name w:val="JACoW_Author List"/>
    <w:next w:val="JACoWAbstractHeading"/>
    <w:autoRedefine/>
    <w:qFormat/>
    <w:rsid w:val="00310C40"/>
    <w:pPr>
      <w:spacing w:before="180" w:after="240"/>
      <w:jc w:val="center"/>
    </w:pPr>
    <w:rPr>
      <w:kern w:val="16"/>
      <w:sz w:val="24"/>
      <w:szCs w:val="24"/>
      <w:lang w:val="fr-FR"/>
    </w:rPr>
  </w:style>
  <w:style w:type="paragraph" w:customStyle="1" w:styleId="FigureCaption">
    <w:name w:val="Figure Caption"/>
    <w:next w:val="BodyTextIndent"/>
    <w:link w:val="FigureCaptionChar"/>
    <w:rsid w:val="00BA703E"/>
    <w:pPr>
      <w:spacing w:before="60" w:after="120"/>
      <w:jc w:val="center"/>
    </w:pPr>
    <w:rPr>
      <w:szCs w:val="24"/>
      <w:lang w:val="en-GB"/>
    </w:rPr>
  </w:style>
  <w:style w:type="paragraph" w:customStyle="1" w:styleId="TableCaption">
    <w:name w:val="Table Caption"/>
    <w:next w:val="BodyTextIndent"/>
    <w:rsid w:val="00BA703E"/>
    <w:pPr>
      <w:spacing w:before="60" w:after="60"/>
      <w:jc w:val="center"/>
    </w:pPr>
    <w:rPr>
      <w:szCs w:val="24"/>
      <w:lang w:val="en-GB"/>
    </w:rPr>
  </w:style>
  <w:style w:type="character" w:styleId="FootnoteReference">
    <w:name w:val="footnote reference"/>
    <w:rsid w:val="00BA703E"/>
    <w:rPr>
      <w:rFonts w:ascii="Times New Roman" w:hAnsi="Times New Roman"/>
      <w:sz w:val="20"/>
      <w:vertAlign w:val="superscript"/>
    </w:rPr>
  </w:style>
  <w:style w:type="paragraph" w:customStyle="1" w:styleId="Equation">
    <w:name w:val="Equation"/>
    <w:basedOn w:val="BodyTextNoIndent"/>
    <w:next w:val="BodyTextNoIndent"/>
    <w:autoRedefine/>
    <w:rsid w:val="00551C35"/>
    <w:pPr>
      <w:spacing w:before="240" w:after="240"/>
      <w:jc w:val="right"/>
    </w:pPr>
    <w:rPr>
      <w:kern w:val="16"/>
    </w:rPr>
  </w:style>
  <w:style w:type="paragraph" w:customStyle="1" w:styleId="JACoWReferencewhen9Refs">
    <w:name w:val="JACoW_Reference when &lt;= 9 Refs"/>
    <w:link w:val="JACoWReferencewhen9RefsChar"/>
    <w:qFormat/>
    <w:rsid w:val="001517C2"/>
    <w:pPr>
      <w:spacing w:after="60"/>
      <w:ind w:left="295" w:hanging="295"/>
      <w:jc w:val="both"/>
    </w:pPr>
    <w:rPr>
      <w:kern w:val="16"/>
      <w:sz w:val="18"/>
      <w:szCs w:val="24"/>
      <w:lang w:val="en-GB"/>
      <w14:cntxtAlts/>
    </w:rPr>
  </w:style>
  <w:style w:type="paragraph" w:styleId="BodyTextIndent">
    <w:name w:val="Body Text Indent"/>
    <w:link w:val="BodyTextIndentChar"/>
    <w:rsid w:val="00BA703E"/>
    <w:pPr>
      <w:ind w:firstLine="187"/>
      <w:jc w:val="both"/>
    </w:pPr>
    <w:rPr>
      <w:lang w:val="en-GB"/>
    </w:rPr>
  </w:style>
  <w:style w:type="character" w:styleId="Hyperlink">
    <w:name w:val="Hyperlink"/>
    <w:rsid w:val="00BA703E"/>
    <w:rPr>
      <w:color w:val="0000FF"/>
      <w:u w:val="single"/>
    </w:rPr>
  </w:style>
  <w:style w:type="paragraph" w:customStyle="1" w:styleId="JACoWBulletedList">
    <w:name w:val="JACoW_Bulleted List"/>
    <w:qFormat/>
    <w:rsid w:val="00310C40"/>
    <w:pPr>
      <w:numPr>
        <w:numId w:val="22"/>
      </w:numPr>
      <w:jc w:val="both"/>
    </w:pPr>
    <w:rPr>
      <w:szCs w:val="24"/>
      <w:lang w:val="en-GB"/>
    </w:rPr>
  </w:style>
  <w:style w:type="character" w:customStyle="1" w:styleId="JACoWReferencewhen9RefsChar">
    <w:name w:val="JACoW_Reference when &lt;= 9 Refs Char"/>
    <w:link w:val="JACoWReferencewhen9Refs"/>
    <w:rsid w:val="001517C2"/>
    <w:rPr>
      <w:kern w:val="16"/>
      <w:sz w:val="18"/>
      <w:szCs w:val="24"/>
      <w:lang w:val="en-GB"/>
      <w14:cntxtAlts/>
    </w:rPr>
  </w:style>
  <w:style w:type="paragraph" w:styleId="Caption">
    <w:name w:val="caption"/>
    <w:basedOn w:val="Normal"/>
    <w:next w:val="Normal"/>
    <w:link w:val="CaptionChar"/>
    <w:qFormat/>
    <w:rsid w:val="00310C40"/>
    <w:pPr>
      <w:spacing w:before="60" w:after="60"/>
      <w:jc w:val="center"/>
    </w:pPr>
    <w:rPr>
      <w:rFonts w:ascii="Times New Roman" w:hAnsi="Times New Roman"/>
      <w:bCs/>
    </w:rPr>
  </w:style>
  <w:style w:type="paragraph" w:customStyle="1" w:styleId="BodyTextNoIndent">
    <w:name w:val="Body Text No Indent"/>
    <w:basedOn w:val="BodyTextIndent"/>
    <w:rsid w:val="00BA703E"/>
    <w:pPr>
      <w:ind w:firstLine="0"/>
    </w:pPr>
  </w:style>
  <w:style w:type="paragraph" w:customStyle="1" w:styleId="FigureCaptionMultiLine">
    <w:name w:val="Figure Caption Multi Line"/>
    <w:basedOn w:val="FigureCaption"/>
    <w:next w:val="BodyTextIndent"/>
    <w:rsid w:val="00BA703E"/>
    <w:pPr>
      <w:jc w:val="both"/>
    </w:pPr>
    <w:rPr>
      <w:szCs w:val="20"/>
    </w:rPr>
  </w:style>
  <w:style w:type="paragraph" w:customStyle="1" w:styleId="TableCaptionMultiLine">
    <w:name w:val="Table Caption Multi Line"/>
    <w:basedOn w:val="TableCaption"/>
    <w:next w:val="BodyTextIndent"/>
    <w:rsid w:val="00BA703E"/>
    <w:pPr>
      <w:jc w:val="both"/>
    </w:pPr>
    <w:rPr>
      <w:szCs w:val="20"/>
    </w:rPr>
  </w:style>
  <w:style w:type="paragraph" w:styleId="BalloonText">
    <w:name w:val="Balloon Text"/>
    <w:basedOn w:val="Normal"/>
    <w:link w:val="BalloonTextChar"/>
    <w:uiPriority w:val="99"/>
    <w:semiHidden/>
    <w:unhideWhenUsed/>
    <w:rsid w:val="00BA703E"/>
    <w:rPr>
      <w:rFonts w:ascii="Tahoma" w:hAnsi="Tahoma" w:cs="Tahoma"/>
      <w:sz w:val="16"/>
      <w:szCs w:val="16"/>
    </w:rPr>
  </w:style>
  <w:style w:type="character" w:customStyle="1" w:styleId="BalloonTextChar">
    <w:name w:val="Balloon Text Char"/>
    <w:link w:val="BalloonText"/>
    <w:uiPriority w:val="99"/>
    <w:semiHidden/>
    <w:rsid w:val="00BA703E"/>
    <w:rPr>
      <w:rFonts w:ascii="Tahoma" w:hAnsi="Tahoma" w:cs="Tahoma"/>
      <w:sz w:val="16"/>
      <w:szCs w:val="16"/>
      <w:lang w:val="en-GB"/>
    </w:rPr>
  </w:style>
  <w:style w:type="character" w:styleId="CommentReference">
    <w:name w:val="annotation reference"/>
    <w:uiPriority w:val="99"/>
    <w:semiHidden/>
    <w:unhideWhenUsed/>
    <w:rsid w:val="00BA703E"/>
    <w:rPr>
      <w:sz w:val="16"/>
      <w:szCs w:val="16"/>
    </w:rPr>
  </w:style>
  <w:style w:type="paragraph" w:styleId="CommentText">
    <w:name w:val="annotation text"/>
    <w:basedOn w:val="Normal"/>
    <w:link w:val="CommentTextChar"/>
    <w:uiPriority w:val="99"/>
    <w:semiHidden/>
    <w:unhideWhenUsed/>
    <w:rsid w:val="00BA703E"/>
    <w:rPr>
      <w:szCs w:val="20"/>
    </w:rPr>
  </w:style>
  <w:style w:type="character" w:customStyle="1" w:styleId="CommentTextChar">
    <w:name w:val="Comment Text Char"/>
    <w:link w:val="CommentText"/>
    <w:uiPriority w:val="99"/>
    <w:semiHidden/>
    <w:rsid w:val="00BA703E"/>
    <w:rPr>
      <w:rFonts w:ascii="Times" w:hAnsi="Times"/>
      <w:lang w:val="en-GB"/>
    </w:rPr>
  </w:style>
  <w:style w:type="paragraph" w:styleId="CommentSubject">
    <w:name w:val="annotation subject"/>
    <w:basedOn w:val="CommentText"/>
    <w:next w:val="CommentText"/>
    <w:link w:val="CommentSubjectChar"/>
    <w:uiPriority w:val="99"/>
    <w:semiHidden/>
    <w:unhideWhenUsed/>
    <w:rsid w:val="00BA703E"/>
    <w:rPr>
      <w:b/>
      <w:bCs/>
    </w:rPr>
  </w:style>
  <w:style w:type="character" w:customStyle="1" w:styleId="CommentSubjectChar">
    <w:name w:val="Comment Subject Char"/>
    <w:link w:val="CommentSubject"/>
    <w:uiPriority w:val="99"/>
    <w:semiHidden/>
    <w:rsid w:val="00BA703E"/>
    <w:rPr>
      <w:rFonts w:ascii="Times" w:hAnsi="Times"/>
      <w:b/>
      <w:bCs/>
      <w:lang w:val="en-GB"/>
    </w:rPr>
  </w:style>
  <w:style w:type="paragraph" w:customStyle="1" w:styleId="JACoWPaperTitle">
    <w:name w:val="JACoW_Paper Title"/>
    <w:next w:val="JACoWAuthorList"/>
    <w:autoRedefine/>
    <w:qFormat/>
    <w:rsid w:val="00CE7F15"/>
    <w:pPr>
      <w:suppressLineNumbers/>
      <w:spacing w:after="60"/>
      <w:jc w:val="center"/>
    </w:pPr>
    <w:rPr>
      <w:rFonts w:eastAsiaTheme="majorEastAsia" w:cstheme="majorBidi"/>
      <w:b/>
      <w:iCs/>
      <w:sz w:val="28"/>
      <w:szCs w:val="28"/>
      <w:lang w:val="en-GB"/>
    </w:rPr>
  </w:style>
  <w:style w:type="paragraph" w:customStyle="1" w:styleId="JACoWSectionHeading">
    <w:name w:val="JACoW_Section Heading"/>
    <w:basedOn w:val="Heading2"/>
    <w:next w:val="JACoWBodyTextIndent"/>
    <w:uiPriority w:val="3"/>
    <w:qFormat/>
    <w:rsid w:val="00310C40"/>
    <w:pPr>
      <w:spacing w:before="180"/>
    </w:pPr>
    <w:rPr>
      <w:lang w:val="fr-FR"/>
    </w:rPr>
  </w:style>
  <w:style w:type="paragraph" w:customStyle="1" w:styleId="JACoWSubsectionHeading">
    <w:name w:val="JACoW_Subsection Heading"/>
    <w:basedOn w:val="Heading3"/>
    <w:next w:val="JACoWBodyTextIndent"/>
    <w:uiPriority w:val="4"/>
    <w:qFormat/>
    <w:rsid w:val="00113B1E"/>
    <w:rPr>
      <w:kern w:val="16"/>
    </w:rPr>
  </w:style>
  <w:style w:type="paragraph" w:styleId="TableofFigures">
    <w:name w:val="table of figures"/>
    <w:basedOn w:val="Normal"/>
    <w:next w:val="Normal"/>
    <w:uiPriority w:val="99"/>
    <w:unhideWhenUsed/>
    <w:rsid w:val="005F1707"/>
  </w:style>
  <w:style w:type="paragraph" w:styleId="NormalWeb">
    <w:name w:val="Normal (Web)"/>
    <w:basedOn w:val="Normal"/>
    <w:uiPriority w:val="99"/>
    <w:semiHidden/>
    <w:unhideWhenUsed/>
    <w:rsid w:val="003D4DD7"/>
    <w:rPr>
      <w:rFonts w:ascii="Times New Roman" w:hAnsi="Times New Roman"/>
      <w:sz w:val="24"/>
    </w:rPr>
  </w:style>
  <w:style w:type="character" w:customStyle="1" w:styleId="Heading1Char">
    <w:name w:val="Heading 1 Char"/>
    <w:basedOn w:val="DefaultParagraphFont"/>
    <w:link w:val="Heading1"/>
    <w:uiPriority w:val="9"/>
    <w:rsid w:val="00310C40"/>
    <w:rPr>
      <w:rFonts w:cs="Arial"/>
      <w:b/>
      <w:bCs/>
      <w:caps/>
      <w:kern w:val="32"/>
      <w:sz w:val="28"/>
      <w:szCs w:val="32"/>
      <w:lang w:val="en-GB"/>
    </w:rPr>
  </w:style>
  <w:style w:type="character" w:customStyle="1" w:styleId="BodyTextIndentChar">
    <w:name w:val="Body Text Indent Char"/>
    <w:link w:val="BodyTextIndent"/>
    <w:rsid w:val="00BA703E"/>
    <w:rPr>
      <w:lang w:val="en-GB"/>
    </w:rPr>
  </w:style>
  <w:style w:type="character" w:styleId="PlaceholderText">
    <w:name w:val="Placeholder Text"/>
    <w:basedOn w:val="DefaultParagraphFont"/>
    <w:uiPriority w:val="99"/>
    <w:semiHidden/>
    <w:rsid w:val="00726E9D"/>
    <w:rPr>
      <w:color w:val="808080"/>
    </w:rPr>
  </w:style>
  <w:style w:type="character" w:customStyle="1" w:styleId="FootnoteTextChar">
    <w:name w:val="Footnote Text Char"/>
    <w:link w:val="FootnoteText"/>
    <w:rsid w:val="00BA703E"/>
    <w:rPr>
      <w:sz w:val="16"/>
      <w:lang w:val="en-GB"/>
    </w:rPr>
  </w:style>
  <w:style w:type="character" w:customStyle="1" w:styleId="FigureCaptionChar">
    <w:name w:val="Figure Caption Char"/>
    <w:basedOn w:val="DefaultParagraphFont"/>
    <w:link w:val="FigureCaption"/>
    <w:rsid w:val="006F6BAA"/>
    <w:rPr>
      <w:szCs w:val="24"/>
      <w:lang w:val="en-GB"/>
    </w:rPr>
  </w:style>
  <w:style w:type="character" w:customStyle="1" w:styleId="CaptionChar">
    <w:name w:val="Caption Char"/>
    <w:basedOn w:val="FigureCaptionChar"/>
    <w:link w:val="Caption"/>
    <w:rsid w:val="00310C40"/>
    <w:rPr>
      <w:bCs/>
      <w:szCs w:val="24"/>
      <w:lang w:val="en-GB"/>
    </w:rPr>
  </w:style>
  <w:style w:type="table" w:styleId="TableGrid">
    <w:name w:val="Table Grid"/>
    <w:basedOn w:val="TableNormal"/>
    <w:uiPriority w:val="59"/>
    <w:rsid w:val="00AB5D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losing">
    <w:name w:val="Closing"/>
    <w:basedOn w:val="Normal"/>
    <w:link w:val="ClosingChar"/>
    <w:uiPriority w:val="99"/>
    <w:semiHidden/>
    <w:unhideWhenUsed/>
    <w:rsid w:val="00617974"/>
    <w:pPr>
      <w:ind w:left="4252"/>
    </w:pPr>
  </w:style>
  <w:style w:type="character" w:customStyle="1" w:styleId="ClosingChar">
    <w:name w:val="Closing Char"/>
    <w:basedOn w:val="DefaultParagraphFont"/>
    <w:link w:val="Closing"/>
    <w:uiPriority w:val="99"/>
    <w:semiHidden/>
    <w:rsid w:val="00617974"/>
    <w:rPr>
      <w:rFonts w:ascii="Times" w:hAnsi="Times"/>
      <w:szCs w:val="24"/>
      <w:lang w:val="en-GB"/>
    </w:rPr>
  </w:style>
  <w:style w:type="paragraph" w:customStyle="1" w:styleId="Style1">
    <w:name w:val="Style1"/>
    <w:basedOn w:val="Caption"/>
    <w:qFormat/>
    <w:rsid w:val="00310C40"/>
    <w:rPr>
      <w:szCs w:val="20"/>
    </w:rPr>
  </w:style>
  <w:style w:type="paragraph" w:customStyle="1" w:styleId="Style2">
    <w:name w:val="Style2"/>
    <w:basedOn w:val="Caption"/>
    <w:qFormat/>
    <w:rsid w:val="00310C40"/>
    <w:rPr>
      <w:b/>
      <w:szCs w:val="20"/>
    </w:rPr>
  </w:style>
  <w:style w:type="paragraph" w:customStyle="1" w:styleId="Style3">
    <w:name w:val="Style3"/>
    <w:basedOn w:val="Caption"/>
    <w:autoRedefine/>
    <w:qFormat/>
    <w:rsid w:val="00310C40"/>
    <w:rPr>
      <w:b/>
      <w:szCs w:val="20"/>
    </w:rPr>
  </w:style>
  <w:style w:type="character" w:styleId="Emphasis">
    <w:name w:val="Emphasis"/>
    <w:basedOn w:val="DefaultParagraphFont"/>
    <w:uiPriority w:val="20"/>
    <w:qFormat/>
    <w:rsid w:val="00310C40"/>
    <w:rPr>
      <w:i/>
      <w:iCs/>
    </w:rPr>
  </w:style>
  <w:style w:type="character" w:customStyle="1" w:styleId="Heading4Char">
    <w:name w:val="Heading 4 Char"/>
    <w:basedOn w:val="DefaultParagraphFont"/>
    <w:link w:val="Heading4"/>
    <w:uiPriority w:val="9"/>
    <w:semiHidden/>
    <w:rsid w:val="00310C40"/>
    <w:rPr>
      <w:rFonts w:asciiTheme="majorHAnsi" w:eastAsiaTheme="majorEastAsia" w:hAnsiTheme="majorHAnsi" w:cstheme="majorBidi"/>
      <w:b/>
      <w:bCs/>
      <w:i/>
      <w:iCs/>
      <w:color w:val="4F81BD" w:themeColor="accent1"/>
      <w:szCs w:val="24"/>
      <w:lang w:val="en-GB"/>
    </w:rPr>
  </w:style>
  <w:style w:type="paragraph" w:customStyle="1" w:styleId="JACoWBodyTextIndent">
    <w:name w:val="JACoW_Body Text Indent"/>
    <w:basedOn w:val="BodyTextIndent"/>
    <w:link w:val="JACoWBodyTextIndentChar"/>
    <w:qFormat/>
    <w:rsid w:val="00927E64"/>
    <w:rPr>
      <w:kern w:val="16"/>
    </w:rPr>
  </w:style>
  <w:style w:type="paragraph" w:customStyle="1" w:styleId="JACoWReference1-9when10Refs">
    <w:name w:val="JACoW_Reference #1-9 when &gt;= 10 Refs"/>
    <w:link w:val="JACoWReference1-9when10RefsChar"/>
    <w:qFormat/>
    <w:rsid w:val="001517C2"/>
    <w:pPr>
      <w:spacing w:after="60" w:line="208" w:lineRule="exact"/>
      <w:ind w:left="386" w:hanging="295"/>
      <w:jc w:val="both"/>
    </w:pPr>
    <w:rPr>
      <w:rFonts w:cs="Consolas"/>
      <w:sz w:val="18"/>
      <w:szCs w:val="18"/>
      <w:lang w:val="en-GB"/>
    </w:rPr>
  </w:style>
  <w:style w:type="character" w:customStyle="1" w:styleId="JACoWBodyTextIndentChar">
    <w:name w:val="JACoW_Body Text Indent Char"/>
    <w:basedOn w:val="BodyTextIndentChar"/>
    <w:link w:val="JACoWBodyTextIndent"/>
    <w:rsid w:val="00927E64"/>
    <w:rPr>
      <w:kern w:val="16"/>
      <w:lang w:val="en-GB"/>
    </w:rPr>
  </w:style>
  <w:style w:type="paragraph" w:customStyle="1" w:styleId="JACoWReference10onwards">
    <w:name w:val="JACoW_Reference #10 onwards"/>
    <w:basedOn w:val="JACoWReferencewhen9Refs"/>
    <w:link w:val="JACoWReference10onwardsChar"/>
    <w:qFormat/>
    <w:rsid w:val="00276CD2"/>
    <w:pPr>
      <w:ind w:left="386" w:hanging="386"/>
    </w:pPr>
    <w:rPr>
      <w:szCs w:val="18"/>
    </w:rPr>
  </w:style>
  <w:style w:type="paragraph" w:customStyle="1" w:styleId="JACoWThird-levelHeading">
    <w:name w:val="JACoW_Third-level Heading"/>
    <w:basedOn w:val="BodyTextIndent"/>
    <w:link w:val="JACoWThird-levelHeadingChar"/>
    <w:qFormat/>
    <w:rsid w:val="00E374CC"/>
    <w:pPr>
      <w:spacing w:before="120"/>
    </w:pPr>
    <w:rPr>
      <w:b/>
    </w:rPr>
  </w:style>
  <w:style w:type="character" w:customStyle="1" w:styleId="JACoWThird-levelHeadingChar">
    <w:name w:val="JACoW_Third-level Heading Char"/>
    <w:basedOn w:val="BodyTextIndentChar"/>
    <w:link w:val="JACoWThird-levelHeading"/>
    <w:rsid w:val="00E374CC"/>
    <w:rPr>
      <w:b/>
      <w:lang w:val="en-GB"/>
    </w:rPr>
  </w:style>
  <w:style w:type="paragraph" w:styleId="Bibliography">
    <w:name w:val="Bibliography"/>
    <w:basedOn w:val="Normal"/>
    <w:next w:val="Normal"/>
    <w:uiPriority w:val="37"/>
    <w:semiHidden/>
    <w:unhideWhenUsed/>
    <w:rsid w:val="00CA0E75"/>
  </w:style>
  <w:style w:type="paragraph" w:styleId="BlockText">
    <w:name w:val="Block Text"/>
    <w:basedOn w:val="Normal"/>
    <w:uiPriority w:val="99"/>
    <w:semiHidden/>
    <w:unhideWhenUsed/>
    <w:rsid w:val="00CA0E75"/>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CA0E75"/>
    <w:pPr>
      <w:spacing w:after="120"/>
    </w:pPr>
  </w:style>
  <w:style w:type="character" w:customStyle="1" w:styleId="BodyTextChar">
    <w:name w:val="Body Text Char"/>
    <w:basedOn w:val="DefaultParagraphFont"/>
    <w:link w:val="BodyText"/>
    <w:uiPriority w:val="99"/>
    <w:semiHidden/>
    <w:rsid w:val="00CA0E75"/>
    <w:rPr>
      <w:rFonts w:ascii="Times" w:hAnsi="Times"/>
      <w:szCs w:val="24"/>
      <w:lang w:val="en-GB"/>
    </w:rPr>
  </w:style>
  <w:style w:type="paragraph" w:styleId="BodyText2">
    <w:name w:val="Body Text 2"/>
    <w:basedOn w:val="Normal"/>
    <w:link w:val="BodyText2Char"/>
    <w:uiPriority w:val="99"/>
    <w:semiHidden/>
    <w:unhideWhenUsed/>
    <w:rsid w:val="00CA0E75"/>
    <w:pPr>
      <w:spacing w:after="120" w:line="480" w:lineRule="auto"/>
    </w:pPr>
  </w:style>
  <w:style w:type="character" w:customStyle="1" w:styleId="BodyText2Char">
    <w:name w:val="Body Text 2 Char"/>
    <w:basedOn w:val="DefaultParagraphFont"/>
    <w:link w:val="BodyText2"/>
    <w:uiPriority w:val="99"/>
    <w:semiHidden/>
    <w:rsid w:val="00CA0E75"/>
    <w:rPr>
      <w:rFonts w:ascii="Times" w:hAnsi="Times"/>
      <w:szCs w:val="24"/>
      <w:lang w:val="en-GB"/>
    </w:rPr>
  </w:style>
  <w:style w:type="paragraph" w:styleId="BodyText3">
    <w:name w:val="Body Text 3"/>
    <w:basedOn w:val="Normal"/>
    <w:link w:val="BodyText3Char"/>
    <w:uiPriority w:val="99"/>
    <w:semiHidden/>
    <w:unhideWhenUsed/>
    <w:rsid w:val="00CA0E75"/>
    <w:pPr>
      <w:spacing w:after="120"/>
    </w:pPr>
    <w:rPr>
      <w:sz w:val="16"/>
      <w:szCs w:val="16"/>
    </w:rPr>
  </w:style>
  <w:style w:type="character" w:customStyle="1" w:styleId="BodyText3Char">
    <w:name w:val="Body Text 3 Char"/>
    <w:basedOn w:val="DefaultParagraphFont"/>
    <w:link w:val="BodyText3"/>
    <w:uiPriority w:val="99"/>
    <w:semiHidden/>
    <w:rsid w:val="00CA0E75"/>
    <w:rPr>
      <w:rFonts w:ascii="Times" w:hAnsi="Times"/>
      <w:sz w:val="16"/>
      <w:szCs w:val="16"/>
      <w:lang w:val="en-GB"/>
    </w:rPr>
  </w:style>
  <w:style w:type="paragraph" w:styleId="BodyTextFirstIndent">
    <w:name w:val="Body Text First Indent"/>
    <w:basedOn w:val="BodyText"/>
    <w:link w:val="BodyTextFirstIndentChar"/>
    <w:uiPriority w:val="99"/>
    <w:semiHidden/>
    <w:unhideWhenUsed/>
    <w:rsid w:val="00CA0E75"/>
    <w:pPr>
      <w:spacing w:after="0"/>
      <w:ind w:firstLine="360"/>
    </w:pPr>
  </w:style>
  <w:style w:type="character" w:customStyle="1" w:styleId="BodyTextFirstIndentChar">
    <w:name w:val="Body Text First Indent Char"/>
    <w:basedOn w:val="BodyTextChar"/>
    <w:link w:val="BodyTextFirstIndent"/>
    <w:uiPriority w:val="99"/>
    <w:semiHidden/>
    <w:rsid w:val="00CA0E75"/>
    <w:rPr>
      <w:rFonts w:ascii="Times" w:hAnsi="Times"/>
      <w:szCs w:val="24"/>
      <w:lang w:val="en-GB"/>
    </w:rPr>
  </w:style>
  <w:style w:type="paragraph" w:styleId="BodyTextFirstIndent2">
    <w:name w:val="Body Text First Indent 2"/>
    <w:basedOn w:val="BodyTextIndent"/>
    <w:link w:val="BodyTextFirstIndent2Char"/>
    <w:uiPriority w:val="99"/>
    <w:semiHidden/>
    <w:unhideWhenUsed/>
    <w:rsid w:val="00CA0E75"/>
    <w:pPr>
      <w:ind w:left="360" w:firstLine="360"/>
      <w:jc w:val="left"/>
    </w:pPr>
    <w:rPr>
      <w:rFonts w:ascii="Times" w:hAnsi="Times"/>
      <w:szCs w:val="24"/>
    </w:rPr>
  </w:style>
  <w:style w:type="character" w:customStyle="1" w:styleId="BodyTextFirstIndent2Char">
    <w:name w:val="Body Text First Indent 2 Char"/>
    <w:basedOn w:val="BodyTextIndentChar"/>
    <w:link w:val="BodyTextFirstIndent2"/>
    <w:uiPriority w:val="99"/>
    <w:semiHidden/>
    <w:rsid w:val="00CA0E75"/>
    <w:rPr>
      <w:rFonts w:ascii="Times" w:hAnsi="Times"/>
      <w:szCs w:val="24"/>
      <w:lang w:val="en-GB"/>
    </w:rPr>
  </w:style>
  <w:style w:type="paragraph" w:styleId="BodyTextIndent2">
    <w:name w:val="Body Text Indent 2"/>
    <w:basedOn w:val="Normal"/>
    <w:link w:val="BodyTextIndent2Char"/>
    <w:uiPriority w:val="99"/>
    <w:semiHidden/>
    <w:unhideWhenUsed/>
    <w:rsid w:val="00CA0E75"/>
    <w:pPr>
      <w:spacing w:after="120" w:line="480" w:lineRule="auto"/>
      <w:ind w:left="283"/>
    </w:pPr>
  </w:style>
  <w:style w:type="character" w:customStyle="1" w:styleId="BodyTextIndent2Char">
    <w:name w:val="Body Text Indent 2 Char"/>
    <w:basedOn w:val="DefaultParagraphFont"/>
    <w:link w:val="BodyTextIndent2"/>
    <w:uiPriority w:val="99"/>
    <w:semiHidden/>
    <w:rsid w:val="00CA0E75"/>
    <w:rPr>
      <w:rFonts w:ascii="Times" w:hAnsi="Times"/>
      <w:szCs w:val="24"/>
      <w:lang w:val="en-GB"/>
    </w:rPr>
  </w:style>
  <w:style w:type="paragraph" w:styleId="BodyTextIndent3">
    <w:name w:val="Body Text Indent 3"/>
    <w:basedOn w:val="Normal"/>
    <w:link w:val="BodyTextIndent3Char"/>
    <w:uiPriority w:val="99"/>
    <w:semiHidden/>
    <w:unhideWhenUsed/>
    <w:rsid w:val="00CA0E7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A0E75"/>
    <w:rPr>
      <w:rFonts w:ascii="Times" w:hAnsi="Times"/>
      <w:sz w:val="16"/>
      <w:szCs w:val="16"/>
      <w:lang w:val="en-GB"/>
    </w:rPr>
  </w:style>
  <w:style w:type="paragraph" w:styleId="Date">
    <w:name w:val="Date"/>
    <w:basedOn w:val="Normal"/>
    <w:next w:val="Normal"/>
    <w:link w:val="DateChar"/>
    <w:uiPriority w:val="99"/>
    <w:semiHidden/>
    <w:unhideWhenUsed/>
    <w:rsid w:val="00CA0E75"/>
  </w:style>
  <w:style w:type="character" w:customStyle="1" w:styleId="DateChar">
    <w:name w:val="Date Char"/>
    <w:basedOn w:val="DefaultParagraphFont"/>
    <w:link w:val="Date"/>
    <w:uiPriority w:val="99"/>
    <w:semiHidden/>
    <w:rsid w:val="00CA0E75"/>
    <w:rPr>
      <w:rFonts w:ascii="Times" w:hAnsi="Times"/>
      <w:szCs w:val="24"/>
      <w:lang w:val="en-GB"/>
    </w:rPr>
  </w:style>
  <w:style w:type="paragraph" w:styleId="DocumentMap">
    <w:name w:val="Document Map"/>
    <w:basedOn w:val="Normal"/>
    <w:link w:val="DocumentMapChar"/>
    <w:uiPriority w:val="99"/>
    <w:semiHidden/>
    <w:unhideWhenUsed/>
    <w:rsid w:val="00CA0E75"/>
    <w:rPr>
      <w:rFonts w:ascii="Tahoma" w:hAnsi="Tahoma" w:cs="Tahoma"/>
      <w:sz w:val="16"/>
      <w:szCs w:val="16"/>
    </w:rPr>
  </w:style>
  <w:style w:type="character" w:customStyle="1" w:styleId="DocumentMapChar">
    <w:name w:val="Document Map Char"/>
    <w:basedOn w:val="DefaultParagraphFont"/>
    <w:link w:val="DocumentMap"/>
    <w:uiPriority w:val="99"/>
    <w:semiHidden/>
    <w:rsid w:val="00CA0E75"/>
    <w:rPr>
      <w:rFonts w:ascii="Tahoma" w:hAnsi="Tahoma" w:cs="Tahoma"/>
      <w:sz w:val="16"/>
      <w:szCs w:val="16"/>
      <w:lang w:val="en-GB"/>
    </w:rPr>
  </w:style>
  <w:style w:type="paragraph" w:styleId="E-mailSignature">
    <w:name w:val="E-mail Signature"/>
    <w:basedOn w:val="Normal"/>
    <w:link w:val="E-mailSignatureChar"/>
    <w:uiPriority w:val="99"/>
    <w:semiHidden/>
    <w:unhideWhenUsed/>
    <w:rsid w:val="00CA0E75"/>
  </w:style>
  <w:style w:type="character" w:customStyle="1" w:styleId="E-mailSignatureChar">
    <w:name w:val="E-mail Signature Char"/>
    <w:basedOn w:val="DefaultParagraphFont"/>
    <w:link w:val="E-mailSignature"/>
    <w:uiPriority w:val="99"/>
    <w:semiHidden/>
    <w:rsid w:val="00CA0E75"/>
    <w:rPr>
      <w:rFonts w:ascii="Times" w:hAnsi="Times"/>
      <w:szCs w:val="24"/>
      <w:lang w:val="en-GB"/>
    </w:rPr>
  </w:style>
  <w:style w:type="paragraph" w:styleId="EndnoteText">
    <w:name w:val="endnote text"/>
    <w:basedOn w:val="Normal"/>
    <w:link w:val="EndnoteTextChar"/>
    <w:uiPriority w:val="99"/>
    <w:semiHidden/>
    <w:unhideWhenUsed/>
    <w:rsid w:val="00CA0E75"/>
    <w:rPr>
      <w:szCs w:val="20"/>
    </w:rPr>
  </w:style>
  <w:style w:type="character" w:customStyle="1" w:styleId="EndnoteTextChar">
    <w:name w:val="Endnote Text Char"/>
    <w:basedOn w:val="DefaultParagraphFont"/>
    <w:link w:val="EndnoteText"/>
    <w:uiPriority w:val="99"/>
    <w:semiHidden/>
    <w:rsid w:val="00CA0E75"/>
    <w:rPr>
      <w:rFonts w:ascii="Times" w:hAnsi="Times"/>
      <w:lang w:val="en-GB"/>
    </w:rPr>
  </w:style>
  <w:style w:type="paragraph" w:styleId="EnvelopeAddress">
    <w:name w:val="envelope address"/>
    <w:basedOn w:val="Normal"/>
    <w:uiPriority w:val="99"/>
    <w:semiHidden/>
    <w:unhideWhenUsed/>
    <w:rsid w:val="00CA0E75"/>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CA0E75"/>
    <w:rPr>
      <w:rFonts w:asciiTheme="majorHAnsi" w:eastAsiaTheme="majorEastAsia" w:hAnsiTheme="majorHAnsi" w:cstheme="majorBidi"/>
      <w:szCs w:val="20"/>
    </w:rPr>
  </w:style>
  <w:style w:type="paragraph" w:styleId="Footer">
    <w:name w:val="footer"/>
    <w:basedOn w:val="Normal"/>
    <w:link w:val="FooterChar"/>
    <w:uiPriority w:val="99"/>
    <w:unhideWhenUsed/>
    <w:rsid w:val="00CA0E75"/>
    <w:pPr>
      <w:tabs>
        <w:tab w:val="center" w:pos="4680"/>
        <w:tab w:val="right" w:pos="9360"/>
      </w:tabs>
    </w:pPr>
  </w:style>
  <w:style w:type="character" w:customStyle="1" w:styleId="FooterChar">
    <w:name w:val="Footer Char"/>
    <w:basedOn w:val="DefaultParagraphFont"/>
    <w:link w:val="Footer"/>
    <w:uiPriority w:val="99"/>
    <w:rsid w:val="00CA0E75"/>
    <w:rPr>
      <w:rFonts w:ascii="Times" w:hAnsi="Times"/>
      <w:szCs w:val="24"/>
      <w:lang w:val="en-GB"/>
    </w:rPr>
  </w:style>
  <w:style w:type="paragraph" w:styleId="Header">
    <w:name w:val="header"/>
    <w:basedOn w:val="Normal"/>
    <w:link w:val="HeaderChar"/>
    <w:uiPriority w:val="99"/>
    <w:unhideWhenUsed/>
    <w:rsid w:val="00CA0E75"/>
    <w:pPr>
      <w:tabs>
        <w:tab w:val="center" w:pos="4680"/>
        <w:tab w:val="right" w:pos="9360"/>
      </w:tabs>
    </w:pPr>
  </w:style>
  <w:style w:type="character" w:customStyle="1" w:styleId="HeaderChar">
    <w:name w:val="Header Char"/>
    <w:basedOn w:val="DefaultParagraphFont"/>
    <w:link w:val="Header"/>
    <w:uiPriority w:val="99"/>
    <w:rsid w:val="00CA0E75"/>
    <w:rPr>
      <w:rFonts w:ascii="Times" w:hAnsi="Times"/>
      <w:szCs w:val="24"/>
      <w:lang w:val="en-GB"/>
    </w:rPr>
  </w:style>
  <w:style w:type="character" w:customStyle="1" w:styleId="Heading5Char">
    <w:name w:val="Heading 5 Char"/>
    <w:basedOn w:val="DefaultParagraphFont"/>
    <w:link w:val="Heading5"/>
    <w:uiPriority w:val="9"/>
    <w:semiHidden/>
    <w:rsid w:val="00310C40"/>
    <w:rPr>
      <w:rFonts w:asciiTheme="majorHAnsi" w:eastAsiaTheme="majorEastAsia" w:hAnsiTheme="majorHAnsi" w:cstheme="majorBidi"/>
      <w:color w:val="243F60" w:themeColor="accent1" w:themeShade="7F"/>
      <w:szCs w:val="24"/>
      <w:lang w:val="en-GB"/>
    </w:rPr>
  </w:style>
  <w:style w:type="character" w:customStyle="1" w:styleId="Heading6Char">
    <w:name w:val="Heading 6 Char"/>
    <w:basedOn w:val="DefaultParagraphFont"/>
    <w:link w:val="Heading6"/>
    <w:uiPriority w:val="9"/>
    <w:semiHidden/>
    <w:rsid w:val="00310C40"/>
    <w:rPr>
      <w:rFonts w:asciiTheme="majorHAnsi" w:eastAsiaTheme="majorEastAsia" w:hAnsiTheme="majorHAnsi" w:cstheme="majorBidi"/>
      <w:i/>
      <w:iCs/>
      <w:color w:val="243F60" w:themeColor="accent1" w:themeShade="7F"/>
      <w:szCs w:val="24"/>
      <w:lang w:val="en-GB"/>
    </w:rPr>
  </w:style>
  <w:style w:type="character" w:customStyle="1" w:styleId="Heading7Char">
    <w:name w:val="Heading 7 Char"/>
    <w:basedOn w:val="DefaultParagraphFont"/>
    <w:link w:val="Heading7"/>
    <w:uiPriority w:val="9"/>
    <w:semiHidden/>
    <w:rsid w:val="00310C40"/>
    <w:rPr>
      <w:rFonts w:asciiTheme="majorHAnsi" w:eastAsiaTheme="majorEastAsia" w:hAnsiTheme="majorHAnsi" w:cstheme="majorBidi"/>
      <w:i/>
      <w:iCs/>
      <w:color w:val="404040" w:themeColor="text1" w:themeTint="BF"/>
      <w:szCs w:val="24"/>
      <w:lang w:val="en-GB"/>
    </w:rPr>
  </w:style>
  <w:style w:type="character" w:customStyle="1" w:styleId="Heading8Char">
    <w:name w:val="Heading 8 Char"/>
    <w:basedOn w:val="DefaultParagraphFont"/>
    <w:link w:val="Heading8"/>
    <w:uiPriority w:val="9"/>
    <w:semiHidden/>
    <w:rsid w:val="00310C40"/>
    <w:rPr>
      <w:rFonts w:asciiTheme="majorHAnsi" w:eastAsiaTheme="majorEastAsia" w:hAnsiTheme="majorHAnsi" w:cstheme="majorBidi"/>
      <w:color w:val="404040" w:themeColor="text1" w:themeTint="BF"/>
      <w:lang w:val="en-GB"/>
    </w:rPr>
  </w:style>
  <w:style w:type="character" w:customStyle="1" w:styleId="Heading9Char">
    <w:name w:val="Heading 9 Char"/>
    <w:basedOn w:val="DefaultParagraphFont"/>
    <w:link w:val="Heading9"/>
    <w:uiPriority w:val="9"/>
    <w:semiHidden/>
    <w:rsid w:val="00310C40"/>
    <w:rPr>
      <w:rFonts w:asciiTheme="majorHAnsi" w:eastAsiaTheme="majorEastAsia" w:hAnsiTheme="majorHAnsi" w:cstheme="majorBidi"/>
      <w:i/>
      <w:iCs/>
      <w:color w:val="404040" w:themeColor="text1" w:themeTint="BF"/>
      <w:lang w:val="en-GB"/>
    </w:rPr>
  </w:style>
  <w:style w:type="paragraph" w:styleId="HTMLAddress">
    <w:name w:val="HTML Address"/>
    <w:basedOn w:val="Normal"/>
    <w:link w:val="HTMLAddressChar"/>
    <w:uiPriority w:val="99"/>
    <w:semiHidden/>
    <w:unhideWhenUsed/>
    <w:rsid w:val="00CA0E75"/>
    <w:rPr>
      <w:i/>
      <w:iCs/>
    </w:rPr>
  </w:style>
  <w:style w:type="character" w:customStyle="1" w:styleId="HTMLAddressChar">
    <w:name w:val="HTML Address Char"/>
    <w:basedOn w:val="DefaultParagraphFont"/>
    <w:link w:val="HTMLAddress"/>
    <w:uiPriority w:val="99"/>
    <w:semiHidden/>
    <w:rsid w:val="00CA0E75"/>
    <w:rPr>
      <w:rFonts w:ascii="Times" w:hAnsi="Times"/>
      <w:i/>
      <w:iCs/>
      <w:szCs w:val="24"/>
      <w:lang w:val="en-GB"/>
    </w:rPr>
  </w:style>
  <w:style w:type="paragraph" w:styleId="HTMLPreformatted">
    <w:name w:val="HTML Preformatted"/>
    <w:basedOn w:val="Normal"/>
    <w:link w:val="HTMLPreformattedChar"/>
    <w:uiPriority w:val="99"/>
    <w:semiHidden/>
    <w:unhideWhenUsed/>
    <w:rsid w:val="00CA0E75"/>
    <w:rPr>
      <w:rFonts w:ascii="Consolas" w:hAnsi="Consolas" w:cs="Consolas"/>
      <w:szCs w:val="20"/>
    </w:rPr>
  </w:style>
  <w:style w:type="character" w:customStyle="1" w:styleId="HTMLPreformattedChar">
    <w:name w:val="HTML Preformatted Char"/>
    <w:basedOn w:val="DefaultParagraphFont"/>
    <w:link w:val="HTMLPreformatted"/>
    <w:uiPriority w:val="99"/>
    <w:semiHidden/>
    <w:rsid w:val="00CA0E75"/>
    <w:rPr>
      <w:rFonts w:ascii="Consolas" w:hAnsi="Consolas" w:cs="Consolas"/>
      <w:lang w:val="en-GB"/>
    </w:rPr>
  </w:style>
  <w:style w:type="paragraph" w:styleId="Index1">
    <w:name w:val="index 1"/>
    <w:basedOn w:val="Normal"/>
    <w:next w:val="Normal"/>
    <w:autoRedefine/>
    <w:uiPriority w:val="99"/>
    <w:semiHidden/>
    <w:unhideWhenUsed/>
    <w:rsid w:val="00CA0E75"/>
    <w:pPr>
      <w:ind w:left="200" w:hanging="200"/>
    </w:pPr>
  </w:style>
  <w:style w:type="paragraph" w:styleId="Index2">
    <w:name w:val="index 2"/>
    <w:basedOn w:val="Normal"/>
    <w:next w:val="Normal"/>
    <w:autoRedefine/>
    <w:uiPriority w:val="99"/>
    <w:semiHidden/>
    <w:unhideWhenUsed/>
    <w:rsid w:val="00CA0E75"/>
    <w:pPr>
      <w:ind w:left="400" w:hanging="200"/>
    </w:pPr>
  </w:style>
  <w:style w:type="paragraph" w:styleId="Index3">
    <w:name w:val="index 3"/>
    <w:basedOn w:val="Normal"/>
    <w:next w:val="Normal"/>
    <w:autoRedefine/>
    <w:uiPriority w:val="99"/>
    <w:semiHidden/>
    <w:unhideWhenUsed/>
    <w:rsid w:val="00CA0E75"/>
    <w:pPr>
      <w:ind w:left="600" w:hanging="200"/>
    </w:pPr>
  </w:style>
  <w:style w:type="paragraph" w:styleId="Index4">
    <w:name w:val="index 4"/>
    <w:basedOn w:val="Normal"/>
    <w:next w:val="Normal"/>
    <w:autoRedefine/>
    <w:uiPriority w:val="99"/>
    <w:semiHidden/>
    <w:unhideWhenUsed/>
    <w:rsid w:val="00CA0E75"/>
    <w:pPr>
      <w:ind w:left="800" w:hanging="200"/>
    </w:pPr>
  </w:style>
  <w:style w:type="paragraph" w:styleId="Index5">
    <w:name w:val="index 5"/>
    <w:basedOn w:val="Normal"/>
    <w:next w:val="Normal"/>
    <w:autoRedefine/>
    <w:uiPriority w:val="99"/>
    <w:semiHidden/>
    <w:unhideWhenUsed/>
    <w:rsid w:val="00CA0E75"/>
    <w:pPr>
      <w:ind w:left="1000" w:hanging="200"/>
    </w:pPr>
  </w:style>
  <w:style w:type="paragraph" w:styleId="Index6">
    <w:name w:val="index 6"/>
    <w:basedOn w:val="Normal"/>
    <w:next w:val="Normal"/>
    <w:autoRedefine/>
    <w:uiPriority w:val="99"/>
    <w:semiHidden/>
    <w:unhideWhenUsed/>
    <w:rsid w:val="00CA0E75"/>
    <w:pPr>
      <w:ind w:left="1200" w:hanging="200"/>
    </w:pPr>
  </w:style>
  <w:style w:type="paragraph" w:styleId="Index7">
    <w:name w:val="index 7"/>
    <w:basedOn w:val="Normal"/>
    <w:next w:val="Normal"/>
    <w:autoRedefine/>
    <w:uiPriority w:val="99"/>
    <w:semiHidden/>
    <w:unhideWhenUsed/>
    <w:rsid w:val="00CA0E75"/>
    <w:pPr>
      <w:ind w:left="1400" w:hanging="200"/>
    </w:pPr>
  </w:style>
  <w:style w:type="paragraph" w:styleId="Index8">
    <w:name w:val="index 8"/>
    <w:basedOn w:val="Normal"/>
    <w:next w:val="Normal"/>
    <w:autoRedefine/>
    <w:uiPriority w:val="99"/>
    <w:semiHidden/>
    <w:unhideWhenUsed/>
    <w:rsid w:val="00CA0E75"/>
    <w:pPr>
      <w:ind w:left="1600" w:hanging="200"/>
    </w:pPr>
  </w:style>
  <w:style w:type="paragraph" w:styleId="Index9">
    <w:name w:val="index 9"/>
    <w:basedOn w:val="Normal"/>
    <w:next w:val="Normal"/>
    <w:autoRedefine/>
    <w:uiPriority w:val="99"/>
    <w:semiHidden/>
    <w:unhideWhenUsed/>
    <w:rsid w:val="00CA0E75"/>
    <w:pPr>
      <w:ind w:left="1800" w:hanging="200"/>
    </w:pPr>
  </w:style>
  <w:style w:type="paragraph" w:styleId="IndexHeading">
    <w:name w:val="index heading"/>
    <w:basedOn w:val="Normal"/>
    <w:next w:val="Index1"/>
    <w:uiPriority w:val="99"/>
    <w:semiHidden/>
    <w:unhideWhenUsed/>
    <w:rsid w:val="00CA0E75"/>
    <w:rPr>
      <w:rFonts w:asciiTheme="majorHAnsi" w:eastAsiaTheme="majorEastAsia" w:hAnsiTheme="majorHAnsi" w:cstheme="majorBidi"/>
      <w:b/>
      <w:bCs/>
    </w:rPr>
  </w:style>
  <w:style w:type="paragraph" w:styleId="IntenseQuote">
    <w:name w:val="Intense Quote"/>
    <w:basedOn w:val="Normal"/>
    <w:next w:val="Normal"/>
    <w:link w:val="IntenseQuoteChar"/>
    <w:uiPriority w:val="99"/>
    <w:semiHidden/>
    <w:qFormat/>
    <w:rsid w:val="00310C4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99"/>
    <w:semiHidden/>
    <w:rsid w:val="00310C40"/>
    <w:rPr>
      <w:rFonts w:ascii="Times" w:hAnsi="Times"/>
      <w:b/>
      <w:bCs/>
      <w:i/>
      <w:iCs/>
      <w:color w:val="4F81BD" w:themeColor="accent1"/>
      <w:szCs w:val="24"/>
      <w:lang w:val="en-GB"/>
    </w:rPr>
  </w:style>
  <w:style w:type="paragraph" w:styleId="List">
    <w:name w:val="List"/>
    <w:basedOn w:val="Normal"/>
    <w:uiPriority w:val="99"/>
    <w:semiHidden/>
    <w:unhideWhenUsed/>
    <w:rsid w:val="00CA0E75"/>
    <w:pPr>
      <w:ind w:left="283" w:hanging="283"/>
      <w:contextualSpacing/>
    </w:pPr>
  </w:style>
  <w:style w:type="paragraph" w:styleId="List2">
    <w:name w:val="List 2"/>
    <w:basedOn w:val="Normal"/>
    <w:uiPriority w:val="99"/>
    <w:semiHidden/>
    <w:unhideWhenUsed/>
    <w:rsid w:val="00CA0E75"/>
    <w:pPr>
      <w:ind w:left="566" w:hanging="283"/>
      <w:contextualSpacing/>
    </w:pPr>
  </w:style>
  <w:style w:type="paragraph" w:styleId="List3">
    <w:name w:val="List 3"/>
    <w:basedOn w:val="Normal"/>
    <w:uiPriority w:val="99"/>
    <w:semiHidden/>
    <w:unhideWhenUsed/>
    <w:rsid w:val="00CA0E75"/>
    <w:pPr>
      <w:ind w:left="849" w:hanging="283"/>
      <w:contextualSpacing/>
    </w:pPr>
  </w:style>
  <w:style w:type="paragraph" w:styleId="List4">
    <w:name w:val="List 4"/>
    <w:basedOn w:val="Normal"/>
    <w:uiPriority w:val="99"/>
    <w:semiHidden/>
    <w:unhideWhenUsed/>
    <w:rsid w:val="00CA0E75"/>
    <w:pPr>
      <w:ind w:left="1132" w:hanging="283"/>
      <w:contextualSpacing/>
    </w:pPr>
  </w:style>
  <w:style w:type="paragraph" w:styleId="List5">
    <w:name w:val="List 5"/>
    <w:basedOn w:val="Normal"/>
    <w:uiPriority w:val="99"/>
    <w:semiHidden/>
    <w:unhideWhenUsed/>
    <w:rsid w:val="00CA0E75"/>
    <w:pPr>
      <w:ind w:left="1415" w:hanging="283"/>
      <w:contextualSpacing/>
    </w:pPr>
  </w:style>
  <w:style w:type="paragraph" w:styleId="ListBullet">
    <w:name w:val="List Bullet"/>
    <w:basedOn w:val="Normal"/>
    <w:uiPriority w:val="99"/>
    <w:semiHidden/>
    <w:unhideWhenUsed/>
    <w:rsid w:val="00CA0E75"/>
    <w:pPr>
      <w:numPr>
        <w:numId w:val="4"/>
      </w:numPr>
      <w:contextualSpacing/>
    </w:pPr>
  </w:style>
  <w:style w:type="paragraph" w:styleId="ListBullet2">
    <w:name w:val="List Bullet 2"/>
    <w:basedOn w:val="Normal"/>
    <w:uiPriority w:val="99"/>
    <w:semiHidden/>
    <w:unhideWhenUsed/>
    <w:rsid w:val="00CA0E75"/>
    <w:pPr>
      <w:numPr>
        <w:numId w:val="5"/>
      </w:numPr>
      <w:contextualSpacing/>
    </w:pPr>
  </w:style>
  <w:style w:type="paragraph" w:styleId="ListBullet3">
    <w:name w:val="List Bullet 3"/>
    <w:basedOn w:val="Normal"/>
    <w:uiPriority w:val="99"/>
    <w:semiHidden/>
    <w:unhideWhenUsed/>
    <w:rsid w:val="00CA0E75"/>
    <w:pPr>
      <w:numPr>
        <w:numId w:val="6"/>
      </w:numPr>
      <w:contextualSpacing/>
    </w:pPr>
  </w:style>
  <w:style w:type="paragraph" w:styleId="ListBullet4">
    <w:name w:val="List Bullet 4"/>
    <w:basedOn w:val="Normal"/>
    <w:uiPriority w:val="99"/>
    <w:semiHidden/>
    <w:unhideWhenUsed/>
    <w:rsid w:val="00CA0E75"/>
    <w:pPr>
      <w:numPr>
        <w:numId w:val="7"/>
      </w:numPr>
      <w:contextualSpacing/>
    </w:pPr>
  </w:style>
  <w:style w:type="paragraph" w:styleId="ListBullet5">
    <w:name w:val="List Bullet 5"/>
    <w:basedOn w:val="Normal"/>
    <w:uiPriority w:val="99"/>
    <w:semiHidden/>
    <w:unhideWhenUsed/>
    <w:rsid w:val="00CA0E75"/>
    <w:pPr>
      <w:numPr>
        <w:numId w:val="8"/>
      </w:numPr>
      <w:contextualSpacing/>
    </w:pPr>
  </w:style>
  <w:style w:type="paragraph" w:styleId="ListContinue">
    <w:name w:val="List Continue"/>
    <w:basedOn w:val="Normal"/>
    <w:uiPriority w:val="99"/>
    <w:semiHidden/>
    <w:unhideWhenUsed/>
    <w:rsid w:val="00CA0E75"/>
    <w:pPr>
      <w:spacing w:after="120"/>
      <w:ind w:left="283"/>
      <w:contextualSpacing/>
    </w:pPr>
  </w:style>
  <w:style w:type="paragraph" w:styleId="ListContinue2">
    <w:name w:val="List Continue 2"/>
    <w:basedOn w:val="Normal"/>
    <w:uiPriority w:val="99"/>
    <w:semiHidden/>
    <w:unhideWhenUsed/>
    <w:rsid w:val="00CA0E75"/>
    <w:pPr>
      <w:spacing w:after="120"/>
      <w:ind w:left="566"/>
      <w:contextualSpacing/>
    </w:pPr>
  </w:style>
  <w:style w:type="paragraph" w:styleId="ListContinue3">
    <w:name w:val="List Continue 3"/>
    <w:basedOn w:val="Normal"/>
    <w:uiPriority w:val="99"/>
    <w:semiHidden/>
    <w:unhideWhenUsed/>
    <w:rsid w:val="00CA0E75"/>
    <w:pPr>
      <w:spacing w:after="120"/>
      <w:ind w:left="849"/>
      <w:contextualSpacing/>
    </w:pPr>
  </w:style>
  <w:style w:type="paragraph" w:styleId="ListContinue4">
    <w:name w:val="List Continue 4"/>
    <w:basedOn w:val="Normal"/>
    <w:uiPriority w:val="99"/>
    <w:semiHidden/>
    <w:unhideWhenUsed/>
    <w:rsid w:val="00CA0E75"/>
    <w:pPr>
      <w:spacing w:after="120"/>
      <w:ind w:left="1132"/>
      <w:contextualSpacing/>
    </w:pPr>
  </w:style>
  <w:style w:type="paragraph" w:styleId="ListContinue5">
    <w:name w:val="List Continue 5"/>
    <w:basedOn w:val="Normal"/>
    <w:uiPriority w:val="99"/>
    <w:semiHidden/>
    <w:unhideWhenUsed/>
    <w:rsid w:val="00CA0E75"/>
    <w:pPr>
      <w:spacing w:after="120"/>
      <w:ind w:left="1415"/>
      <w:contextualSpacing/>
    </w:pPr>
  </w:style>
  <w:style w:type="paragraph" w:styleId="ListNumber">
    <w:name w:val="List Number"/>
    <w:basedOn w:val="Normal"/>
    <w:uiPriority w:val="99"/>
    <w:semiHidden/>
    <w:unhideWhenUsed/>
    <w:rsid w:val="00CA0E75"/>
    <w:pPr>
      <w:numPr>
        <w:numId w:val="9"/>
      </w:numPr>
      <w:contextualSpacing/>
    </w:pPr>
  </w:style>
  <w:style w:type="paragraph" w:styleId="ListNumber2">
    <w:name w:val="List Number 2"/>
    <w:basedOn w:val="Normal"/>
    <w:uiPriority w:val="99"/>
    <w:semiHidden/>
    <w:unhideWhenUsed/>
    <w:rsid w:val="00CA0E75"/>
    <w:pPr>
      <w:numPr>
        <w:numId w:val="10"/>
      </w:numPr>
      <w:contextualSpacing/>
    </w:pPr>
  </w:style>
  <w:style w:type="paragraph" w:styleId="ListNumber3">
    <w:name w:val="List Number 3"/>
    <w:basedOn w:val="Normal"/>
    <w:uiPriority w:val="99"/>
    <w:semiHidden/>
    <w:unhideWhenUsed/>
    <w:rsid w:val="00CA0E75"/>
    <w:pPr>
      <w:numPr>
        <w:numId w:val="11"/>
      </w:numPr>
      <w:contextualSpacing/>
    </w:pPr>
  </w:style>
  <w:style w:type="paragraph" w:styleId="ListNumber4">
    <w:name w:val="List Number 4"/>
    <w:basedOn w:val="Normal"/>
    <w:uiPriority w:val="99"/>
    <w:semiHidden/>
    <w:unhideWhenUsed/>
    <w:rsid w:val="00CA0E75"/>
    <w:pPr>
      <w:numPr>
        <w:numId w:val="12"/>
      </w:numPr>
      <w:contextualSpacing/>
    </w:pPr>
  </w:style>
  <w:style w:type="paragraph" w:styleId="ListNumber5">
    <w:name w:val="List Number 5"/>
    <w:basedOn w:val="Normal"/>
    <w:uiPriority w:val="99"/>
    <w:semiHidden/>
    <w:unhideWhenUsed/>
    <w:rsid w:val="00CA0E75"/>
    <w:pPr>
      <w:numPr>
        <w:numId w:val="13"/>
      </w:numPr>
      <w:contextualSpacing/>
    </w:pPr>
  </w:style>
  <w:style w:type="paragraph" w:styleId="ListParagraph">
    <w:name w:val="List Paragraph"/>
    <w:basedOn w:val="Normal"/>
    <w:uiPriority w:val="99"/>
    <w:semiHidden/>
    <w:qFormat/>
    <w:rsid w:val="00310C40"/>
    <w:pPr>
      <w:ind w:left="720"/>
      <w:contextualSpacing/>
    </w:pPr>
  </w:style>
  <w:style w:type="paragraph" w:styleId="MacroText">
    <w:name w:val="macro"/>
    <w:link w:val="MacroTextChar"/>
    <w:uiPriority w:val="99"/>
    <w:semiHidden/>
    <w:unhideWhenUsed/>
    <w:rsid w:val="00CA0E75"/>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rPr>
  </w:style>
  <w:style w:type="character" w:customStyle="1" w:styleId="MacroTextChar">
    <w:name w:val="Macro Text Char"/>
    <w:basedOn w:val="DefaultParagraphFont"/>
    <w:link w:val="MacroText"/>
    <w:uiPriority w:val="99"/>
    <w:semiHidden/>
    <w:rsid w:val="00CA0E75"/>
    <w:rPr>
      <w:rFonts w:ascii="Consolas" w:hAnsi="Consolas" w:cs="Consolas"/>
      <w:lang w:val="en-GB"/>
    </w:rPr>
  </w:style>
  <w:style w:type="paragraph" w:styleId="MessageHeader">
    <w:name w:val="Message Header"/>
    <w:basedOn w:val="Normal"/>
    <w:link w:val="MessageHeaderChar"/>
    <w:uiPriority w:val="99"/>
    <w:semiHidden/>
    <w:unhideWhenUsed/>
    <w:rsid w:val="00CA0E7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CA0E75"/>
    <w:rPr>
      <w:rFonts w:asciiTheme="majorHAnsi" w:eastAsiaTheme="majorEastAsia" w:hAnsiTheme="majorHAnsi" w:cstheme="majorBidi"/>
      <w:sz w:val="24"/>
      <w:szCs w:val="24"/>
      <w:shd w:val="pct20" w:color="auto" w:fill="auto"/>
      <w:lang w:val="en-GB"/>
    </w:rPr>
  </w:style>
  <w:style w:type="paragraph" w:styleId="NoSpacing">
    <w:name w:val="No Spacing"/>
    <w:uiPriority w:val="99"/>
    <w:semiHidden/>
    <w:qFormat/>
    <w:rsid w:val="00310C40"/>
    <w:rPr>
      <w:rFonts w:ascii="Times" w:hAnsi="Times"/>
      <w:szCs w:val="24"/>
      <w:lang w:val="en-GB"/>
    </w:rPr>
  </w:style>
  <w:style w:type="paragraph" w:styleId="NormalIndent">
    <w:name w:val="Normal Indent"/>
    <w:basedOn w:val="Normal"/>
    <w:uiPriority w:val="99"/>
    <w:semiHidden/>
    <w:unhideWhenUsed/>
    <w:rsid w:val="00CA0E75"/>
    <w:pPr>
      <w:ind w:left="708"/>
    </w:pPr>
  </w:style>
  <w:style w:type="paragraph" w:styleId="NoteHeading">
    <w:name w:val="Note Heading"/>
    <w:basedOn w:val="Normal"/>
    <w:next w:val="Normal"/>
    <w:link w:val="NoteHeadingChar"/>
    <w:uiPriority w:val="99"/>
    <w:semiHidden/>
    <w:unhideWhenUsed/>
    <w:rsid w:val="00CA0E75"/>
  </w:style>
  <w:style w:type="character" w:customStyle="1" w:styleId="NoteHeadingChar">
    <w:name w:val="Note Heading Char"/>
    <w:basedOn w:val="DefaultParagraphFont"/>
    <w:link w:val="NoteHeading"/>
    <w:uiPriority w:val="99"/>
    <w:semiHidden/>
    <w:rsid w:val="00CA0E75"/>
    <w:rPr>
      <w:rFonts w:ascii="Times" w:hAnsi="Times"/>
      <w:szCs w:val="24"/>
      <w:lang w:val="en-GB"/>
    </w:rPr>
  </w:style>
  <w:style w:type="paragraph" w:styleId="PlainText">
    <w:name w:val="Plain Text"/>
    <w:basedOn w:val="Normal"/>
    <w:link w:val="PlainTextChar"/>
    <w:uiPriority w:val="99"/>
    <w:semiHidden/>
    <w:unhideWhenUsed/>
    <w:rsid w:val="00CA0E75"/>
    <w:rPr>
      <w:rFonts w:ascii="Consolas" w:hAnsi="Consolas" w:cs="Consolas"/>
      <w:sz w:val="21"/>
      <w:szCs w:val="21"/>
    </w:rPr>
  </w:style>
  <w:style w:type="character" w:customStyle="1" w:styleId="PlainTextChar">
    <w:name w:val="Plain Text Char"/>
    <w:basedOn w:val="DefaultParagraphFont"/>
    <w:link w:val="PlainText"/>
    <w:uiPriority w:val="99"/>
    <w:semiHidden/>
    <w:rsid w:val="00CA0E75"/>
    <w:rPr>
      <w:rFonts w:ascii="Consolas" w:hAnsi="Consolas" w:cs="Consolas"/>
      <w:sz w:val="21"/>
      <w:szCs w:val="21"/>
      <w:lang w:val="en-GB"/>
    </w:rPr>
  </w:style>
  <w:style w:type="paragraph" w:styleId="Quote">
    <w:name w:val="Quote"/>
    <w:basedOn w:val="Normal"/>
    <w:next w:val="Normal"/>
    <w:link w:val="QuoteChar"/>
    <w:uiPriority w:val="99"/>
    <w:semiHidden/>
    <w:qFormat/>
    <w:rsid w:val="00310C40"/>
    <w:rPr>
      <w:i/>
      <w:iCs/>
      <w:color w:val="000000" w:themeColor="text1"/>
    </w:rPr>
  </w:style>
  <w:style w:type="character" w:customStyle="1" w:styleId="QuoteChar">
    <w:name w:val="Quote Char"/>
    <w:basedOn w:val="DefaultParagraphFont"/>
    <w:link w:val="Quote"/>
    <w:uiPriority w:val="99"/>
    <w:semiHidden/>
    <w:rsid w:val="00310C40"/>
    <w:rPr>
      <w:rFonts w:ascii="Times" w:hAnsi="Times"/>
      <w:i/>
      <w:iCs/>
      <w:color w:val="000000" w:themeColor="text1"/>
      <w:szCs w:val="24"/>
      <w:lang w:val="en-GB"/>
    </w:rPr>
  </w:style>
  <w:style w:type="paragraph" w:styleId="Salutation">
    <w:name w:val="Salutation"/>
    <w:basedOn w:val="Normal"/>
    <w:next w:val="Normal"/>
    <w:link w:val="SalutationChar"/>
    <w:uiPriority w:val="99"/>
    <w:semiHidden/>
    <w:unhideWhenUsed/>
    <w:rsid w:val="00CA0E75"/>
  </w:style>
  <w:style w:type="character" w:customStyle="1" w:styleId="SalutationChar">
    <w:name w:val="Salutation Char"/>
    <w:basedOn w:val="DefaultParagraphFont"/>
    <w:link w:val="Salutation"/>
    <w:uiPriority w:val="99"/>
    <w:semiHidden/>
    <w:rsid w:val="00CA0E75"/>
    <w:rPr>
      <w:rFonts w:ascii="Times" w:hAnsi="Times"/>
      <w:szCs w:val="24"/>
      <w:lang w:val="en-GB"/>
    </w:rPr>
  </w:style>
  <w:style w:type="paragraph" w:styleId="Signature">
    <w:name w:val="Signature"/>
    <w:basedOn w:val="Normal"/>
    <w:link w:val="SignatureChar"/>
    <w:uiPriority w:val="99"/>
    <w:semiHidden/>
    <w:unhideWhenUsed/>
    <w:rsid w:val="00CA0E75"/>
    <w:pPr>
      <w:ind w:left="4252"/>
    </w:pPr>
  </w:style>
  <w:style w:type="character" w:customStyle="1" w:styleId="SignatureChar">
    <w:name w:val="Signature Char"/>
    <w:basedOn w:val="DefaultParagraphFont"/>
    <w:link w:val="Signature"/>
    <w:uiPriority w:val="99"/>
    <w:semiHidden/>
    <w:rsid w:val="00CA0E75"/>
    <w:rPr>
      <w:rFonts w:ascii="Times" w:hAnsi="Times"/>
      <w:szCs w:val="24"/>
      <w:lang w:val="en-GB"/>
    </w:rPr>
  </w:style>
  <w:style w:type="paragraph" w:styleId="Subtitle">
    <w:name w:val="Subtitle"/>
    <w:basedOn w:val="Normal"/>
    <w:next w:val="Normal"/>
    <w:link w:val="SubtitleChar"/>
    <w:uiPriority w:val="99"/>
    <w:semiHidden/>
    <w:qFormat/>
    <w:rsid w:val="00310C40"/>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99"/>
    <w:semiHidden/>
    <w:rsid w:val="00310C40"/>
    <w:rPr>
      <w:rFonts w:asciiTheme="majorHAnsi" w:eastAsiaTheme="majorEastAsia" w:hAnsiTheme="majorHAnsi" w:cstheme="majorBidi"/>
      <w:i/>
      <w:iCs/>
      <w:color w:val="4F81BD" w:themeColor="accent1"/>
      <w:spacing w:val="15"/>
      <w:sz w:val="24"/>
      <w:szCs w:val="24"/>
      <w:lang w:val="en-GB"/>
    </w:rPr>
  </w:style>
  <w:style w:type="paragraph" w:styleId="TableofAuthorities">
    <w:name w:val="table of authorities"/>
    <w:basedOn w:val="Normal"/>
    <w:next w:val="Normal"/>
    <w:uiPriority w:val="99"/>
    <w:semiHidden/>
    <w:unhideWhenUsed/>
    <w:rsid w:val="00CA0E75"/>
    <w:pPr>
      <w:ind w:left="200" w:hanging="200"/>
    </w:pPr>
  </w:style>
  <w:style w:type="paragraph" w:styleId="Title">
    <w:name w:val="Title"/>
    <w:basedOn w:val="Normal"/>
    <w:next w:val="Normal"/>
    <w:link w:val="TitleChar"/>
    <w:uiPriority w:val="99"/>
    <w:semiHidden/>
    <w:qFormat/>
    <w:rsid w:val="00310C4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semiHidden/>
    <w:rsid w:val="00310C40"/>
    <w:rPr>
      <w:rFonts w:asciiTheme="majorHAnsi" w:eastAsiaTheme="majorEastAsia" w:hAnsiTheme="majorHAnsi" w:cstheme="majorBidi"/>
      <w:color w:val="17365D" w:themeColor="text2" w:themeShade="BF"/>
      <w:spacing w:val="5"/>
      <w:kern w:val="28"/>
      <w:sz w:val="52"/>
      <w:szCs w:val="52"/>
      <w:lang w:val="en-GB"/>
    </w:rPr>
  </w:style>
  <w:style w:type="paragraph" w:styleId="TOAHeading">
    <w:name w:val="toa heading"/>
    <w:basedOn w:val="Normal"/>
    <w:next w:val="Normal"/>
    <w:uiPriority w:val="99"/>
    <w:semiHidden/>
    <w:unhideWhenUsed/>
    <w:rsid w:val="00CA0E75"/>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semiHidden/>
    <w:unhideWhenUsed/>
    <w:rsid w:val="00CA0E75"/>
    <w:pPr>
      <w:spacing w:after="100"/>
    </w:pPr>
  </w:style>
  <w:style w:type="paragraph" w:styleId="TOC2">
    <w:name w:val="toc 2"/>
    <w:basedOn w:val="Normal"/>
    <w:next w:val="Normal"/>
    <w:autoRedefine/>
    <w:uiPriority w:val="39"/>
    <w:semiHidden/>
    <w:unhideWhenUsed/>
    <w:rsid w:val="00CA0E75"/>
    <w:pPr>
      <w:spacing w:after="100"/>
      <w:ind w:left="200"/>
    </w:pPr>
  </w:style>
  <w:style w:type="paragraph" w:styleId="TOC3">
    <w:name w:val="toc 3"/>
    <w:basedOn w:val="Normal"/>
    <w:next w:val="Normal"/>
    <w:autoRedefine/>
    <w:uiPriority w:val="39"/>
    <w:semiHidden/>
    <w:unhideWhenUsed/>
    <w:rsid w:val="00CA0E75"/>
    <w:pPr>
      <w:spacing w:after="100"/>
      <w:ind w:left="400"/>
    </w:pPr>
  </w:style>
  <w:style w:type="paragraph" w:styleId="TOC4">
    <w:name w:val="toc 4"/>
    <w:basedOn w:val="Normal"/>
    <w:next w:val="Normal"/>
    <w:autoRedefine/>
    <w:uiPriority w:val="39"/>
    <w:semiHidden/>
    <w:unhideWhenUsed/>
    <w:rsid w:val="00CA0E75"/>
    <w:pPr>
      <w:spacing w:after="100"/>
      <w:ind w:left="600"/>
    </w:pPr>
  </w:style>
  <w:style w:type="paragraph" w:styleId="TOC5">
    <w:name w:val="toc 5"/>
    <w:basedOn w:val="Normal"/>
    <w:next w:val="Normal"/>
    <w:autoRedefine/>
    <w:uiPriority w:val="39"/>
    <w:semiHidden/>
    <w:unhideWhenUsed/>
    <w:rsid w:val="00CA0E75"/>
    <w:pPr>
      <w:spacing w:after="100"/>
      <w:ind w:left="800"/>
    </w:pPr>
  </w:style>
  <w:style w:type="paragraph" w:styleId="TOC6">
    <w:name w:val="toc 6"/>
    <w:basedOn w:val="Normal"/>
    <w:next w:val="Normal"/>
    <w:autoRedefine/>
    <w:uiPriority w:val="39"/>
    <w:semiHidden/>
    <w:unhideWhenUsed/>
    <w:rsid w:val="00CA0E75"/>
    <w:pPr>
      <w:spacing w:after="100"/>
      <w:ind w:left="1000"/>
    </w:pPr>
  </w:style>
  <w:style w:type="paragraph" w:styleId="TOC7">
    <w:name w:val="toc 7"/>
    <w:basedOn w:val="Normal"/>
    <w:next w:val="Normal"/>
    <w:autoRedefine/>
    <w:uiPriority w:val="39"/>
    <w:semiHidden/>
    <w:unhideWhenUsed/>
    <w:rsid w:val="00CA0E75"/>
    <w:pPr>
      <w:spacing w:after="100"/>
      <w:ind w:left="1200"/>
    </w:pPr>
  </w:style>
  <w:style w:type="paragraph" w:styleId="TOC8">
    <w:name w:val="toc 8"/>
    <w:basedOn w:val="Normal"/>
    <w:next w:val="Normal"/>
    <w:autoRedefine/>
    <w:uiPriority w:val="39"/>
    <w:semiHidden/>
    <w:unhideWhenUsed/>
    <w:rsid w:val="00CA0E75"/>
    <w:pPr>
      <w:spacing w:after="100"/>
      <w:ind w:left="1400"/>
    </w:pPr>
  </w:style>
  <w:style w:type="paragraph" w:styleId="TOC9">
    <w:name w:val="toc 9"/>
    <w:basedOn w:val="Normal"/>
    <w:next w:val="Normal"/>
    <w:autoRedefine/>
    <w:uiPriority w:val="39"/>
    <w:semiHidden/>
    <w:unhideWhenUsed/>
    <w:rsid w:val="00CA0E75"/>
    <w:pPr>
      <w:spacing w:after="100"/>
      <w:ind w:left="1600"/>
    </w:pPr>
  </w:style>
  <w:style w:type="paragraph" w:styleId="TOCHeading">
    <w:name w:val="TOC Heading"/>
    <w:basedOn w:val="Heading1"/>
    <w:next w:val="Normal"/>
    <w:uiPriority w:val="39"/>
    <w:semiHidden/>
    <w:unhideWhenUsed/>
    <w:qFormat/>
    <w:rsid w:val="00310C40"/>
    <w:pPr>
      <w:keepLines/>
      <w:spacing w:before="480" w:after="0"/>
      <w:jc w:val="left"/>
      <w:outlineLvl w:val="9"/>
    </w:pPr>
    <w:rPr>
      <w:rFonts w:asciiTheme="majorHAnsi" w:eastAsiaTheme="majorEastAsia" w:hAnsiTheme="majorHAnsi" w:cstheme="majorBidi"/>
      <w:caps w:val="0"/>
      <w:color w:val="365F91" w:themeColor="accent1" w:themeShade="BF"/>
      <w:kern w:val="0"/>
      <w:szCs w:val="28"/>
    </w:rPr>
  </w:style>
  <w:style w:type="paragraph" w:customStyle="1" w:styleId="JACoWNumberedlist">
    <w:name w:val="JACoW_Numbered list"/>
    <w:basedOn w:val="BodyTextIndent"/>
    <w:link w:val="JACoWNumberedlistChar"/>
    <w:qFormat/>
    <w:rsid w:val="00310C40"/>
    <w:pPr>
      <w:numPr>
        <w:numId w:val="19"/>
      </w:numPr>
      <w:ind w:left="391" w:hanging="204"/>
    </w:pPr>
    <w:rPr>
      <w:kern w:val="16"/>
    </w:rPr>
  </w:style>
  <w:style w:type="character" w:customStyle="1" w:styleId="JACoWReference1-9when10RefsChar">
    <w:name w:val="JACoW_Reference #1-9 when &gt;= 10 Refs Char"/>
    <w:basedOn w:val="DefaultParagraphFont"/>
    <w:link w:val="JACoWReference1-9when10Refs"/>
    <w:rsid w:val="001517C2"/>
    <w:rPr>
      <w:rFonts w:cs="Consolas"/>
      <w:sz w:val="18"/>
      <w:szCs w:val="18"/>
      <w:lang w:val="en-GB"/>
    </w:rPr>
  </w:style>
  <w:style w:type="paragraph" w:customStyle="1" w:styleId="JACoWAbstractHeading">
    <w:name w:val="JACoW_Abstract_Heading"/>
    <w:basedOn w:val="Normal"/>
    <w:next w:val="JACoWBodyTextIndent"/>
    <w:link w:val="JACoWAbstractHeadingChar"/>
    <w:rsid w:val="00162067"/>
    <w:pPr>
      <w:spacing w:after="60"/>
    </w:pPr>
    <w:rPr>
      <w:rFonts w:ascii="Times New Roman" w:hAnsi="Times New Roman"/>
      <w:i/>
      <w:sz w:val="24"/>
    </w:rPr>
  </w:style>
  <w:style w:type="paragraph" w:customStyle="1" w:styleId="JACoWReferenceItalics">
    <w:name w:val="JACoW_Reference Italics"/>
    <w:basedOn w:val="BodyTextNoIndent"/>
    <w:link w:val="JACoWReferenceItalicsChar"/>
    <w:qFormat/>
    <w:rsid w:val="001663F5"/>
    <w:rPr>
      <w:i/>
      <w:sz w:val="18"/>
    </w:rPr>
  </w:style>
  <w:style w:type="character" w:customStyle="1" w:styleId="JACoWReferenceurldoiChar">
    <w:name w:val="JACoW_Reference url_doi Char"/>
    <w:basedOn w:val="JACoWReference1-9when10RefsChar"/>
    <w:link w:val="JACoWReferenceurldoi"/>
    <w:rsid w:val="0041146C"/>
    <w:rPr>
      <w:rFonts w:ascii="Liberation Mono" w:hAnsi="Liberation Mono" w:cs="Courier New"/>
      <w:sz w:val="16"/>
      <w:szCs w:val="15"/>
      <w:lang w:val="en-GB"/>
    </w:rPr>
  </w:style>
  <w:style w:type="character" w:customStyle="1" w:styleId="JACoWReferenceItalicsChar">
    <w:name w:val="JACoW_Reference Italics Char"/>
    <w:basedOn w:val="JACoWReference1-9when10RefsChar"/>
    <w:link w:val="JACoWReferenceItalics"/>
    <w:rsid w:val="001663F5"/>
    <w:rPr>
      <w:rFonts w:cs="Consolas"/>
      <w:i/>
      <w:sz w:val="18"/>
      <w:szCs w:val="18"/>
      <w:lang w:val="en-GB"/>
    </w:rPr>
  </w:style>
  <w:style w:type="character" w:customStyle="1" w:styleId="JACoWReference10onwardsChar">
    <w:name w:val="JACoW_Reference #10 onwards Char"/>
    <w:basedOn w:val="JACoWReferencewhen9RefsChar"/>
    <w:link w:val="JACoWReference10onwards"/>
    <w:rsid w:val="00276CD2"/>
    <w:rPr>
      <w:kern w:val="16"/>
      <w:sz w:val="18"/>
      <w:szCs w:val="18"/>
      <w:lang w:val="en-GB"/>
      <w14:cntxtAlts/>
    </w:rPr>
  </w:style>
  <w:style w:type="character" w:customStyle="1" w:styleId="JACoWNumberedlistChar">
    <w:name w:val="JACoW_Numbered list Char"/>
    <w:basedOn w:val="BodyTextIndentChar"/>
    <w:link w:val="JACoWNumberedlist"/>
    <w:rsid w:val="00310C40"/>
    <w:rPr>
      <w:kern w:val="16"/>
      <w:lang w:val="en-GB"/>
    </w:rPr>
  </w:style>
  <w:style w:type="character" w:customStyle="1" w:styleId="JACoWAbstractHeadingChar">
    <w:name w:val="JACoW_Abstract_Heading Char"/>
    <w:basedOn w:val="DefaultParagraphFont"/>
    <w:link w:val="JACoWAbstractHeading"/>
    <w:rsid w:val="00162067"/>
    <w:rPr>
      <w:i/>
      <w:sz w:val="24"/>
      <w:szCs w:val="24"/>
      <w:lang w:val="en-GB"/>
    </w:rPr>
  </w:style>
  <w:style w:type="character" w:styleId="LineNumber">
    <w:name w:val="line number"/>
    <w:basedOn w:val="DefaultParagraphFont"/>
    <w:uiPriority w:val="99"/>
    <w:semiHidden/>
    <w:unhideWhenUsed/>
    <w:rsid w:val="000F1BAC"/>
  </w:style>
  <w:style w:type="paragraph" w:customStyle="1" w:styleId="JACoWTableCaption">
    <w:name w:val="JACoW_Table_Caption"/>
    <w:basedOn w:val="Caption"/>
    <w:qFormat/>
    <w:rsid w:val="0041146C"/>
  </w:style>
  <w:style w:type="paragraph" w:customStyle="1" w:styleId="JACoWFigCaption">
    <w:name w:val="JACoW_Fig_Caption"/>
    <w:basedOn w:val="Caption"/>
    <w:qFormat/>
    <w:rsid w:val="0041146C"/>
    <w:pPr>
      <w:spacing w:after="120"/>
    </w:pPr>
  </w:style>
  <w:style w:type="paragraph" w:customStyle="1" w:styleId="JACoWFigCaptionMultiLine">
    <w:name w:val="JACoW_Fig_Caption Multi Line"/>
    <w:basedOn w:val="Normal"/>
    <w:qFormat/>
    <w:rsid w:val="0041146C"/>
    <w:pPr>
      <w:spacing w:before="60" w:after="120"/>
      <w:jc w:val="both"/>
    </w:pPr>
    <w:rPr>
      <w:rFonts w:ascii="Times New Roman" w:hAnsi="Times New Roman"/>
    </w:rPr>
  </w:style>
  <w:style w:type="paragraph" w:customStyle="1" w:styleId="JACoWFootnoteText">
    <w:name w:val="JACoW_Footnote Text"/>
    <w:basedOn w:val="FootnoteText"/>
    <w:qFormat/>
    <w:rsid w:val="00246CC5"/>
    <w:pPr>
      <w:jc w:val="both"/>
    </w:pPr>
  </w:style>
  <w:style w:type="paragraph" w:customStyle="1" w:styleId="JACoWTableContextText">
    <w:name w:val="JACoW_Table_Context_Text"/>
    <w:basedOn w:val="JACoWBodyTextIndent"/>
    <w:qFormat/>
    <w:rsid w:val="00733470"/>
    <w:pPr>
      <w:spacing w:before="60" w:after="60"/>
      <w:ind w:firstLine="0"/>
    </w:pPr>
  </w:style>
  <w:style w:type="paragraph" w:customStyle="1" w:styleId="JACoWTableColumnHeading">
    <w:name w:val="JACoW_Table_Column_Heading"/>
    <w:basedOn w:val="JACoWTableContextText"/>
    <w:qFormat/>
    <w:rsid w:val="00733470"/>
    <w:pPr>
      <w:jc w:val="center"/>
    </w:pPr>
    <w:rPr>
      <w:b/>
    </w:rPr>
  </w:style>
  <w:style w:type="paragraph" w:customStyle="1" w:styleId="JACoWTableCaptionMultiLine">
    <w:name w:val="JACoW_Table_Caption Multi Line"/>
    <w:basedOn w:val="JACoWTableCaption"/>
    <w:qFormat/>
    <w:rsid w:val="00DA491C"/>
    <w:pPr>
      <w:jc w:val="both"/>
    </w:pPr>
  </w:style>
  <w:style w:type="character" w:styleId="UnresolvedMention">
    <w:name w:val="Unresolved Mention"/>
    <w:basedOn w:val="DefaultParagraphFont"/>
    <w:uiPriority w:val="99"/>
    <w:semiHidden/>
    <w:unhideWhenUsed/>
    <w:rsid w:val="00C760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5192">
      <w:bodyDiv w:val="1"/>
      <w:marLeft w:val="0"/>
      <w:marRight w:val="0"/>
      <w:marTop w:val="0"/>
      <w:marBottom w:val="0"/>
      <w:divBdr>
        <w:top w:val="none" w:sz="0" w:space="0" w:color="auto"/>
        <w:left w:val="none" w:sz="0" w:space="0" w:color="auto"/>
        <w:bottom w:val="none" w:sz="0" w:space="0" w:color="auto"/>
        <w:right w:val="none" w:sz="0" w:space="0" w:color="auto"/>
      </w:divBdr>
    </w:div>
    <w:div w:id="31076218">
      <w:bodyDiv w:val="1"/>
      <w:marLeft w:val="0"/>
      <w:marRight w:val="0"/>
      <w:marTop w:val="0"/>
      <w:marBottom w:val="0"/>
      <w:divBdr>
        <w:top w:val="none" w:sz="0" w:space="0" w:color="auto"/>
        <w:left w:val="none" w:sz="0" w:space="0" w:color="auto"/>
        <w:bottom w:val="none" w:sz="0" w:space="0" w:color="auto"/>
        <w:right w:val="none" w:sz="0" w:space="0" w:color="auto"/>
      </w:divBdr>
    </w:div>
    <w:div w:id="49350821">
      <w:bodyDiv w:val="1"/>
      <w:marLeft w:val="0"/>
      <w:marRight w:val="0"/>
      <w:marTop w:val="0"/>
      <w:marBottom w:val="0"/>
      <w:divBdr>
        <w:top w:val="none" w:sz="0" w:space="0" w:color="auto"/>
        <w:left w:val="none" w:sz="0" w:space="0" w:color="auto"/>
        <w:bottom w:val="none" w:sz="0" w:space="0" w:color="auto"/>
        <w:right w:val="none" w:sz="0" w:space="0" w:color="auto"/>
      </w:divBdr>
    </w:div>
    <w:div w:id="252855729">
      <w:bodyDiv w:val="1"/>
      <w:marLeft w:val="0"/>
      <w:marRight w:val="0"/>
      <w:marTop w:val="0"/>
      <w:marBottom w:val="0"/>
      <w:divBdr>
        <w:top w:val="none" w:sz="0" w:space="0" w:color="auto"/>
        <w:left w:val="none" w:sz="0" w:space="0" w:color="auto"/>
        <w:bottom w:val="none" w:sz="0" w:space="0" w:color="auto"/>
        <w:right w:val="none" w:sz="0" w:space="0" w:color="auto"/>
      </w:divBdr>
    </w:div>
    <w:div w:id="1040201817">
      <w:bodyDiv w:val="1"/>
      <w:marLeft w:val="0"/>
      <w:marRight w:val="0"/>
      <w:marTop w:val="0"/>
      <w:marBottom w:val="0"/>
      <w:divBdr>
        <w:top w:val="none" w:sz="0" w:space="0" w:color="auto"/>
        <w:left w:val="none" w:sz="0" w:space="0" w:color="auto"/>
        <w:bottom w:val="none" w:sz="0" w:space="0" w:color="auto"/>
        <w:right w:val="none" w:sz="0" w:space="0" w:color="auto"/>
      </w:divBdr>
      <w:divsChild>
        <w:div w:id="1070808083">
          <w:marLeft w:val="0"/>
          <w:marRight w:val="0"/>
          <w:marTop w:val="0"/>
          <w:marBottom w:val="0"/>
          <w:divBdr>
            <w:top w:val="none" w:sz="0" w:space="0" w:color="auto"/>
            <w:left w:val="none" w:sz="0" w:space="0" w:color="auto"/>
            <w:bottom w:val="none" w:sz="0" w:space="0" w:color="auto"/>
            <w:right w:val="none" w:sz="0" w:space="0" w:color="auto"/>
          </w:divBdr>
          <w:divsChild>
            <w:div w:id="291981559">
              <w:marLeft w:val="0"/>
              <w:marRight w:val="0"/>
              <w:marTop w:val="0"/>
              <w:marBottom w:val="0"/>
              <w:divBdr>
                <w:top w:val="none" w:sz="0" w:space="0" w:color="auto"/>
                <w:left w:val="none" w:sz="0" w:space="0" w:color="auto"/>
                <w:bottom w:val="none" w:sz="0" w:space="0" w:color="auto"/>
                <w:right w:val="none" w:sz="0" w:space="0" w:color="auto"/>
              </w:divBdr>
              <w:divsChild>
                <w:div w:id="1475368633">
                  <w:marLeft w:val="-300"/>
                  <w:marRight w:val="-300"/>
                  <w:marTop w:val="0"/>
                  <w:marBottom w:val="0"/>
                  <w:divBdr>
                    <w:top w:val="none" w:sz="0" w:space="0" w:color="auto"/>
                    <w:left w:val="none" w:sz="0" w:space="0" w:color="auto"/>
                    <w:bottom w:val="none" w:sz="0" w:space="0" w:color="auto"/>
                    <w:right w:val="none" w:sz="0" w:space="0" w:color="auto"/>
                  </w:divBdr>
                  <w:divsChild>
                    <w:div w:id="1570186201">
                      <w:marLeft w:val="0"/>
                      <w:marRight w:val="0"/>
                      <w:marTop w:val="180"/>
                      <w:marBottom w:val="600"/>
                      <w:divBdr>
                        <w:top w:val="single" w:sz="6" w:space="0" w:color="EAEAEA"/>
                        <w:left w:val="none" w:sz="0" w:space="0" w:color="auto"/>
                        <w:bottom w:val="single" w:sz="12" w:space="0" w:color="2C4C99"/>
                        <w:right w:val="none" w:sz="0" w:space="0" w:color="auto"/>
                      </w:divBdr>
                      <w:divsChild>
                        <w:div w:id="115876221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200824">
      <w:bodyDiv w:val="1"/>
      <w:marLeft w:val="0"/>
      <w:marRight w:val="0"/>
      <w:marTop w:val="0"/>
      <w:marBottom w:val="0"/>
      <w:divBdr>
        <w:top w:val="none" w:sz="0" w:space="0" w:color="auto"/>
        <w:left w:val="none" w:sz="0" w:space="0" w:color="auto"/>
        <w:bottom w:val="none" w:sz="0" w:space="0" w:color="auto"/>
        <w:right w:val="none" w:sz="0" w:space="0" w:color="auto"/>
      </w:divBdr>
    </w:div>
    <w:div w:id="1781142199">
      <w:bodyDiv w:val="1"/>
      <w:marLeft w:val="0"/>
      <w:marRight w:val="0"/>
      <w:marTop w:val="0"/>
      <w:marBottom w:val="0"/>
      <w:divBdr>
        <w:top w:val="none" w:sz="0" w:space="0" w:color="auto"/>
        <w:left w:val="none" w:sz="0" w:space="0" w:color="auto"/>
        <w:bottom w:val="none" w:sz="0" w:space="0" w:color="auto"/>
        <w:right w:val="none" w:sz="0" w:space="0" w:color="auto"/>
      </w:divBdr>
    </w:div>
    <w:div w:id="1782912383">
      <w:bodyDiv w:val="1"/>
      <w:marLeft w:val="0"/>
      <w:marRight w:val="0"/>
      <w:marTop w:val="0"/>
      <w:marBottom w:val="0"/>
      <w:divBdr>
        <w:top w:val="none" w:sz="0" w:space="0" w:color="auto"/>
        <w:left w:val="none" w:sz="0" w:space="0" w:color="auto"/>
        <w:bottom w:val="none" w:sz="0" w:space="0" w:color="auto"/>
        <w:right w:val="none" w:sz="0" w:space="0" w:color="auto"/>
      </w:divBdr>
    </w:div>
    <w:div w:id="1969044995">
      <w:bodyDiv w:val="1"/>
      <w:marLeft w:val="0"/>
      <w:marRight w:val="0"/>
      <w:marTop w:val="0"/>
      <w:marBottom w:val="0"/>
      <w:divBdr>
        <w:top w:val="none" w:sz="0" w:space="0" w:color="auto"/>
        <w:left w:val="none" w:sz="0" w:space="0" w:color="auto"/>
        <w:bottom w:val="none" w:sz="0" w:space="0" w:color="auto"/>
        <w:right w:val="none" w:sz="0" w:space="0" w:color="auto"/>
      </w:divBdr>
    </w:div>
    <w:div w:id="2098015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linearcollider.org/ILC/GDE/technical-design-documentation"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doi.org/10.18429/JACoW-LINAC2016-MOPLR030"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8429/JACoW-LINAC2016-THPLR037" TargetMode="External"/><Relationship Id="rId10" Type="http://schemas.openxmlformats.org/officeDocument/2006/relationships/header" Target="header2.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accelconf.web.cern.ch/ipac2019/papers/thpmp013.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p1620\AppData\Local\Temp\MicrosoftEdgeDownloads\f5bc1f47-3b29-4f47-814c-c8174bf16001\JACoW_W16_A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JCh15</b:Tag>
    <b:SourceType>ConferenceProceedings</b:SourceType>
    <b:Guid>{45316F22-FB22-4E2F-94CC-E64FF2C6AB1F}</b:Guid>
    <b:Title>Investiation of The</b:Title>
    <b:Year>2015</b:Year>
    <b:City>Melbourne, Australia</b:City>
    <b:Publisher>jacow.org</b:Publisher>
    <b:Author>
      <b:Author>
        <b:Corporate>J. Chirn</b:Corporate>
      </b:Author>
    </b:Author>
    <b:Pages>1--5</b:Pages>
    <b:ConferenceName>2015</b:ConferenceName>
    <b:LCID>en-US</b:LCID>
    <b:RefOrder>1</b:RefOrder>
  </b:Source>
</b:Sources>
</file>

<file path=customXml/itemProps1.xml><?xml version="1.0" encoding="utf-8"?>
<ds:datastoreItem xmlns:ds="http://schemas.openxmlformats.org/officeDocument/2006/customXml" ds:itemID="{8B93B602-CB2E-491A-8974-D26CC571F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JACoW_W16_A4.dotx</Template>
  <TotalTime>7</TotalTime>
  <Pages>7</Pages>
  <Words>3491</Words>
  <Characters>19905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Konoplev, Ivan</dc:creator>
  <cp:lastModifiedBy>Konoplev, Ivan</cp:lastModifiedBy>
  <cp:revision>4</cp:revision>
  <cp:lastPrinted>2022-10-10T12:28:00Z</cp:lastPrinted>
  <dcterms:created xsi:type="dcterms:W3CDTF">2022-10-14T09:10:00Z</dcterms:created>
  <dcterms:modified xsi:type="dcterms:W3CDTF">2022-10-14T09:19:00Z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2759de7-3255-46b5-8dfe-736652f9c6c1_Enabled">
    <vt:lpwstr>true</vt:lpwstr>
  </property>
  <property fmtid="{D5CDD505-2E9C-101B-9397-08002B2CF9AE}" pid="3" name="MSIP_Label_22759de7-3255-46b5-8dfe-736652f9c6c1_SetDate">
    <vt:lpwstr>2022-09-30T09:09:30Z</vt:lpwstr>
  </property>
  <property fmtid="{D5CDD505-2E9C-101B-9397-08002B2CF9AE}" pid="4" name="MSIP_Label_22759de7-3255-46b5-8dfe-736652f9c6c1_Method">
    <vt:lpwstr>Standard</vt:lpwstr>
  </property>
  <property fmtid="{D5CDD505-2E9C-101B-9397-08002B2CF9AE}" pid="5" name="MSIP_Label_22759de7-3255-46b5-8dfe-736652f9c6c1_Name">
    <vt:lpwstr>22759de7-3255-46b5-8dfe-736652f9c6c1</vt:lpwstr>
  </property>
  <property fmtid="{D5CDD505-2E9C-101B-9397-08002B2CF9AE}" pid="6" name="MSIP_Label_22759de7-3255-46b5-8dfe-736652f9c6c1_SiteId">
    <vt:lpwstr>c6ac664b-ae27-4d5d-b4e6-bb5717196fc7</vt:lpwstr>
  </property>
  <property fmtid="{D5CDD505-2E9C-101B-9397-08002B2CF9AE}" pid="7" name="MSIP_Label_22759de7-3255-46b5-8dfe-736652f9c6c1_ActionId">
    <vt:lpwstr>bbec0570-34a4-4bab-9f4b-0fc75dc62b53</vt:lpwstr>
  </property>
  <property fmtid="{D5CDD505-2E9C-101B-9397-08002B2CF9AE}" pid="8" name="MSIP_Label_22759de7-3255-46b5-8dfe-736652f9c6c1_ContentBits">
    <vt:lpwstr>0</vt:lpwstr>
  </property>
</Properties>
</file>